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single" w:sz="4" w:space="0" w:color="auto"/>
          <w:left w:val="single" w:sz="4" w:space="0" w:color="auto"/>
          <w:right w:val="single" w:sz="4" w:space="0" w:color="auto"/>
        </w:tblBorders>
        <w:tblLook w:val="0000" w:firstRow="0" w:lastRow="0" w:firstColumn="0" w:lastColumn="0" w:noHBand="0" w:noVBand="0"/>
      </w:tblPr>
      <w:tblGrid>
        <w:gridCol w:w="4332"/>
        <w:gridCol w:w="2508"/>
        <w:gridCol w:w="2340"/>
      </w:tblGrid>
      <w:tr w:rsidR="00406C93" w:rsidRPr="00717752">
        <w:tc>
          <w:tcPr>
            <w:tcW w:w="6840" w:type="dxa"/>
            <w:gridSpan w:val="2"/>
            <w:tcBorders>
              <w:bottom w:val="single" w:sz="4" w:space="0" w:color="auto"/>
              <w:right w:val="single" w:sz="4" w:space="0" w:color="auto"/>
            </w:tcBorders>
          </w:tcPr>
          <w:p w:rsidR="00406C93" w:rsidRPr="00717752" w:rsidRDefault="00551D92" w:rsidP="007245DE">
            <w:pPr>
              <w:pStyle w:val="Header"/>
              <w:tabs>
                <w:tab w:val="clear" w:pos="4153"/>
                <w:tab w:val="clear" w:pos="8306"/>
              </w:tabs>
              <w:rPr>
                <w:rFonts w:ascii="Arial" w:hAnsi="Arial" w:cs="Arial"/>
                <w:sz w:val="22"/>
                <w:szCs w:val="22"/>
              </w:rPr>
            </w:pPr>
            <w:r>
              <w:rPr>
                <w:rFonts w:ascii="Arial" w:hAnsi="Arial" w:cs="Arial"/>
                <w:b/>
                <w:bCs/>
                <w:sz w:val="22"/>
                <w:szCs w:val="22"/>
              </w:rPr>
              <w:t>31 July 2020</w:t>
            </w:r>
            <w:r w:rsidR="00406C93" w:rsidRPr="00717752">
              <w:rPr>
                <w:rFonts w:ascii="Arial" w:hAnsi="Arial" w:cs="Arial"/>
                <w:sz w:val="22"/>
                <w:szCs w:val="22"/>
              </w:rPr>
              <w:t xml:space="preserve"> </w:t>
            </w:r>
          </w:p>
        </w:tc>
        <w:tc>
          <w:tcPr>
            <w:tcW w:w="2340" w:type="dxa"/>
            <w:tcBorders>
              <w:left w:val="single" w:sz="4" w:space="0" w:color="auto"/>
              <w:bottom w:val="single" w:sz="4" w:space="0" w:color="auto"/>
            </w:tcBorders>
          </w:tcPr>
          <w:p w:rsidR="00406C93" w:rsidRPr="00717752" w:rsidRDefault="00406C93" w:rsidP="002E06EA">
            <w:pPr>
              <w:rPr>
                <w:rFonts w:ascii="Arial" w:hAnsi="Arial" w:cs="Arial"/>
                <w:b/>
                <w:bCs/>
                <w:sz w:val="22"/>
                <w:szCs w:val="22"/>
              </w:rPr>
            </w:pPr>
            <w:r w:rsidRPr="00717752">
              <w:rPr>
                <w:rFonts w:ascii="Arial" w:hAnsi="Arial" w:cs="Arial"/>
                <w:b/>
                <w:bCs/>
                <w:sz w:val="22"/>
                <w:szCs w:val="22"/>
              </w:rPr>
              <w:t>ITEM</w:t>
            </w:r>
            <w:r w:rsidR="006C1EEF" w:rsidRPr="00717752">
              <w:rPr>
                <w:rFonts w:ascii="Arial" w:hAnsi="Arial" w:cs="Arial"/>
                <w:b/>
                <w:bCs/>
                <w:sz w:val="22"/>
                <w:szCs w:val="22"/>
              </w:rPr>
              <w:t>:</w:t>
            </w:r>
            <w:r w:rsidRPr="00717752">
              <w:rPr>
                <w:rFonts w:ascii="Arial" w:hAnsi="Arial" w:cs="Arial"/>
                <w:b/>
                <w:bCs/>
                <w:sz w:val="22"/>
                <w:szCs w:val="22"/>
              </w:rPr>
              <w:t xml:space="preserve"> </w:t>
            </w:r>
            <w:r w:rsidR="009F4483">
              <w:rPr>
                <w:rFonts w:ascii="Arial" w:hAnsi="Arial" w:cs="Arial"/>
                <w:b/>
                <w:bCs/>
                <w:sz w:val="22"/>
                <w:szCs w:val="22"/>
              </w:rPr>
              <w:t>8</w:t>
            </w:r>
            <w:bookmarkStart w:id="0" w:name="_GoBack"/>
            <w:bookmarkEnd w:id="0"/>
          </w:p>
        </w:tc>
      </w:tr>
      <w:tr w:rsidR="00406C93" w:rsidRPr="00717752">
        <w:trPr>
          <w:trHeight w:val="135"/>
        </w:trPr>
        <w:tc>
          <w:tcPr>
            <w:tcW w:w="9180" w:type="dxa"/>
            <w:gridSpan w:val="3"/>
            <w:tcBorders>
              <w:bottom w:val="single" w:sz="4" w:space="0" w:color="auto"/>
            </w:tcBorders>
          </w:tcPr>
          <w:p w:rsidR="00406C93" w:rsidRPr="00717752" w:rsidRDefault="002F53D0" w:rsidP="007245DE">
            <w:pPr>
              <w:pStyle w:val="Header"/>
              <w:tabs>
                <w:tab w:val="clear" w:pos="4153"/>
                <w:tab w:val="clear" w:pos="8306"/>
              </w:tabs>
              <w:rPr>
                <w:rFonts w:ascii="Arial" w:hAnsi="Arial" w:cs="Arial"/>
                <w:b/>
                <w:bCs/>
                <w:sz w:val="22"/>
                <w:szCs w:val="22"/>
              </w:rPr>
            </w:pPr>
            <w:r w:rsidRPr="00717752">
              <w:rPr>
                <w:rFonts w:ascii="Arial" w:hAnsi="Arial" w:cs="Arial"/>
                <w:b/>
                <w:bCs/>
                <w:sz w:val="22"/>
                <w:szCs w:val="22"/>
              </w:rPr>
              <w:t>Health and Wellbeing Board</w:t>
            </w:r>
          </w:p>
          <w:p w:rsidR="007245DE" w:rsidRPr="00717752" w:rsidRDefault="007245DE" w:rsidP="007245DE">
            <w:pPr>
              <w:pStyle w:val="Header"/>
              <w:tabs>
                <w:tab w:val="clear" w:pos="4153"/>
                <w:tab w:val="clear" w:pos="8306"/>
              </w:tabs>
              <w:rPr>
                <w:rFonts w:ascii="Arial" w:hAnsi="Arial" w:cs="Arial"/>
                <w:sz w:val="22"/>
                <w:szCs w:val="22"/>
              </w:rPr>
            </w:pPr>
          </w:p>
        </w:tc>
      </w:tr>
      <w:tr w:rsidR="00406C93" w:rsidRPr="00717752" w:rsidTr="0060618C">
        <w:trPr>
          <w:trHeight w:val="483"/>
        </w:trPr>
        <w:tc>
          <w:tcPr>
            <w:tcW w:w="9180" w:type="dxa"/>
            <w:gridSpan w:val="3"/>
            <w:tcBorders>
              <w:top w:val="single" w:sz="4" w:space="0" w:color="auto"/>
              <w:bottom w:val="single" w:sz="4" w:space="0" w:color="auto"/>
            </w:tcBorders>
          </w:tcPr>
          <w:p w:rsidR="00406C93" w:rsidRPr="00717752" w:rsidRDefault="002F53D0" w:rsidP="007245DE">
            <w:pPr>
              <w:pStyle w:val="Header"/>
              <w:tabs>
                <w:tab w:val="clear" w:pos="4153"/>
                <w:tab w:val="clear" w:pos="8306"/>
              </w:tabs>
              <w:rPr>
                <w:rFonts w:ascii="Arial" w:hAnsi="Arial" w:cs="Arial"/>
                <w:sz w:val="22"/>
                <w:szCs w:val="22"/>
              </w:rPr>
            </w:pPr>
            <w:r w:rsidRPr="00717752">
              <w:rPr>
                <w:rFonts w:ascii="Arial" w:hAnsi="Arial" w:cs="Arial"/>
                <w:b/>
                <w:bCs/>
                <w:sz w:val="22"/>
                <w:szCs w:val="22"/>
              </w:rPr>
              <w:t>Thurrock Health and Wellbeing Strategy refresh</w:t>
            </w:r>
            <w:r w:rsidR="007B13BA">
              <w:rPr>
                <w:rFonts w:ascii="Arial" w:hAnsi="Arial" w:cs="Arial"/>
                <w:b/>
                <w:bCs/>
                <w:sz w:val="22"/>
                <w:szCs w:val="22"/>
              </w:rPr>
              <w:t xml:space="preserve"> – Post COVID-19</w:t>
            </w:r>
          </w:p>
        </w:tc>
      </w:tr>
      <w:tr w:rsidR="00FE342F" w:rsidRPr="00717752" w:rsidTr="00803C23">
        <w:tc>
          <w:tcPr>
            <w:tcW w:w="4332" w:type="dxa"/>
            <w:tcBorders>
              <w:top w:val="single" w:sz="4" w:space="0" w:color="auto"/>
              <w:bottom w:val="single" w:sz="4" w:space="0" w:color="auto"/>
              <w:right w:val="single" w:sz="4" w:space="0" w:color="auto"/>
            </w:tcBorders>
          </w:tcPr>
          <w:p w:rsidR="00FE342F" w:rsidRPr="00717752" w:rsidRDefault="00FE342F" w:rsidP="007245DE">
            <w:pPr>
              <w:rPr>
                <w:rFonts w:ascii="Arial" w:hAnsi="Arial" w:cs="Arial"/>
                <w:sz w:val="22"/>
                <w:szCs w:val="22"/>
              </w:rPr>
            </w:pPr>
            <w:r w:rsidRPr="00717752">
              <w:rPr>
                <w:rFonts w:ascii="Arial" w:hAnsi="Arial" w:cs="Arial"/>
                <w:b/>
                <w:bCs/>
                <w:sz w:val="22"/>
                <w:szCs w:val="22"/>
              </w:rPr>
              <w:t>Wards and communities affected:</w:t>
            </w:r>
            <w:r w:rsidRPr="00717752">
              <w:rPr>
                <w:rFonts w:ascii="Arial" w:hAnsi="Arial" w:cs="Arial"/>
                <w:sz w:val="22"/>
                <w:szCs w:val="22"/>
              </w:rPr>
              <w:t xml:space="preserve"> </w:t>
            </w:r>
          </w:p>
          <w:p w:rsidR="00FE342F" w:rsidRPr="00717752" w:rsidRDefault="002F53D0" w:rsidP="007245DE">
            <w:pPr>
              <w:rPr>
                <w:rFonts w:ascii="Arial" w:hAnsi="Arial" w:cs="Arial"/>
                <w:sz w:val="22"/>
                <w:szCs w:val="22"/>
              </w:rPr>
            </w:pPr>
            <w:r w:rsidRPr="00717752">
              <w:rPr>
                <w:rFonts w:ascii="Arial" w:hAnsi="Arial" w:cs="Arial"/>
                <w:sz w:val="22"/>
                <w:szCs w:val="22"/>
              </w:rPr>
              <w:t>All</w:t>
            </w:r>
          </w:p>
        </w:tc>
        <w:tc>
          <w:tcPr>
            <w:tcW w:w="4848" w:type="dxa"/>
            <w:gridSpan w:val="2"/>
            <w:tcBorders>
              <w:top w:val="single" w:sz="4" w:space="0" w:color="auto"/>
              <w:left w:val="single" w:sz="4" w:space="0" w:color="auto"/>
              <w:bottom w:val="single" w:sz="4" w:space="0" w:color="auto"/>
            </w:tcBorders>
          </w:tcPr>
          <w:p w:rsidR="00FE342F" w:rsidRPr="00717752" w:rsidRDefault="00FE342F" w:rsidP="007245DE">
            <w:pPr>
              <w:rPr>
                <w:rFonts w:ascii="Arial" w:hAnsi="Arial" w:cs="Arial"/>
                <w:sz w:val="22"/>
                <w:szCs w:val="22"/>
              </w:rPr>
            </w:pPr>
            <w:r w:rsidRPr="00717752">
              <w:rPr>
                <w:rFonts w:ascii="Arial" w:hAnsi="Arial" w:cs="Arial"/>
                <w:b/>
                <w:bCs/>
                <w:sz w:val="22"/>
                <w:szCs w:val="22"/>
              </w:rPr>
              <w:t>Key Decision:</w:t>
            </w:r>
            <w:r w:rsidRPr="00717752">
              <w:rPr>
                <w:rFonts w:ascii="Arial" w:hAnsi="Arial" w:cs="Arial"/>
                <w:sz w:val="22"/>
                <w:szCs w:val="22"/>
              </w:rPr>
              <w:t xml:space="preserve"> </w:t>
            </w:r>
          </w:p>
          <w:p w:rsidR="00FE342F" w:rsidRPr="00717752" w:rsidRDefault="002F53D0" w:rsidP="007245DE">
            <w:pPr>
              <w:rPr>
                <w:rFonts w:ascii="Arial" w:hAnsi="Arial" w:cs="Arial"/>
                <w:sz w:val="22"/>
                <w:szCs w:val="22"/>
              </w:rPr>
            </w:pPr>
            <w:r w:rsidRPr="00717752">
              <w:rPr>
                <w:rFonts w:ascii="Arial" w:hAnsi="Arial" w:cs="Arial"/>
                <w:sz w:val="22"/>
                <w:szCs w:val="22"/>
              </w:rPr>
              <w:t>Key</w:t>
            </w:r>
          </w:p>
        </w:tc>
      </w:tr>
      <w:tr w:rsidR="00F52380" w:rsidRPr="00717752">
        <w:tc>
          <w:tcPr>
            <w:tcW w:w="9180" w:type="dxa"/>
            <w:gridSpan w:val="3"/>
            <w:tcBorders>
              <w:top w:val="single" w:sz="4" w:space="0" w:color="auto"/>
            </w:tcBorders>
          </w:tcPr>
          <w:p w:rsidR="007245DE" w:rsidRPr="00717752" w:rsidRDefault="007245DE" w:rsidP="007245DE">
            <w:pPr>
              <w:rPr>
                <w:rFonts w:ascii="Arial" w:hAnsi="Arial" w:cs="Arial"/>
                <w:b/>
                <w:bCs/>
                <w:sz w:val="22"/>
                <w:szCs w:val="22"/>
              </w:rPr>
            </w:pPr>
          </w:p>
          <w:p w:rsidR="007B660D" w:rsidRPr="00717752" w:rsidRDefault="00F52380" w:rsidP="001C6052">
            <w:pPr>
              <w:rPr>
                <w:rFonts w:ascii="Arial" w:hAnsi="Arial" w:cs="Arial"/>
                <w:b/>
                <w:bCs/>
                <w:sz w:val="22"/>
                <w:szCs w:val="22"/>
              </w:rPr>
            </w:pPr>
            <w:r w:rsidRPr="00717752">
              <w:rPr>
                <w:rFonts w:ascii="Arial" w:hAnsi="Arial" w:cs="Arial"/>
                <w:b/>
                <w:bCs/>
                <w:sz w:val="22"/>
                <w:szCs w:val="22"/>
              </w:rPr>
              <w:t xml:space="preserve">Report of: </w:t>
            </w:r>
            <w:r w:rsidR="007B660D" w:rsidRPr="00717752">
              <w:rPr>
                <w:rFonts w:ascii="Arial" w:hAnsi="Arial" w:cs="Arial"/>
                <w:sz w:val="22"/>
                <w:szCs w:val="22"/>
              </w:rPr>
              <w:t xml:space="preserve">Roger Harris – Corporate Director for Adults Housing and Health </w:t>
            </w:r>
          </w:p>
        </w:tc>
      </w:tr>
      <w:tr w:rsidR="00406C93" w:rsidRPr="00717752">
        <w:tc>
          <w:tcPr>
            <w:tcW w:w="9180" w:type="dxa"/>
            <w:gridSpan w:val="3"/>
            <w:tcBorders>
              <w:top w:val="single" w:sz="4" w:space="0" w:color="auto"/>
              <w:bottom w:val="single" w:sz="4" w:space="0" w:color="auto"/>
            </w:tcBorders>
          </w:tcPr>
          <w:p w:rsidR="007245DE" w:rsidRPr="00717752" w:rsidRDefault="007245DE" w:rsidP="007245DE">
            <w:pPr>
              <w:rPr>
                <w:rFonts w:ascii="Arial" w:hAnsi="Arial" w:cs="Arial"/>
                <w:b/>
                <w:bCs/>
                <w:sz w:val="22"/>
                <w:szCs w:val="22"/>
              </w:rPr>
            </w:pPr>
          </w:p>
          <w:p w:rsidR="00406C93" w:rsidRPr="00717752" w:rsidRDefault="00406C93" w:rsidP="007245DE">
            <w:pPr>
              <w:rPr>
                <w:rFonts w:ascii="Arial" w:hAnsi="Arial" w:cs="Arial"/>
                <w:sz w:val="22"/>
                <w:szCs w:val="22"/>
              </w:rPr>
            </w:pPr>
            <w:r w:rsidRPr="00717752">
              <w:rPr>
                <w:rFonts w:ascii="Arial" w:hAnsi="Arial" w:cs="Arial"/>
                <w:b/>
                <w:bCs/>
                <w:sz w:val="22"/>
                <w:szCs w:val="22"/>
              </w:rPr>
              <w:t>Accountable Head of Service:</w:t>
            </w:r>
            <w:r w:rsidRPr="00717752">
              <w:rPr>
                <w:rFonts w:ascii="Arial" w:hAnsi="Arial" w:cs="Arial"/>
                <w:sz w:val="22"/>
                <w:szCs w:val="22"/>
              </w:rPr>
              <w:t xml:space="preserve"> </w:t>
            </w:r>
            <w:r w:rsidR="007B660D" w:rsidRPr="00717752">
              <w:rPr>
                <w:rFonts w:ascii="Arial" w:hAnsi="Arial" w:cs="Arial"/>
                <w:sz w:val="22"/>
                <w:szCs w:val="22"/>
              </w:rPr>
              <w:t>Roger Harris</w:t>
            </w:r>
          </w:p>
        </w:tc>
      </w:tr>
      <w:tr w:rsidR="00406C93" w:rsidRPr="00717752">
        <w:tc>
          <w:tcPr>
            <w:tcW w:w="9180" w:type="dxa"/>
            <w:gridSpan w:val="3"/>
            <w:tcBorders>
              <w:top w:val="single" w:sz="4" w:space="0" w:color="auto"/>
              <w:bottom w:val="single" w:sz="4" w:space="0" w:color="auto"/>
            </w:tcBorders>
          </w:tcPr>
          <w:p w:rsidR="007245DE" w:rsidRPr="00717752" w:rsidRDefault="007245DE" w:rsidP="007245DE">
            <w:pPr>
              <w:pStyle w:val="Header"/>
              <w:tabs>
                <w:tab w:val="clear" w:pos="4153"/>
                <w:tab w:val="clear" w:pos="8306"/>
              </w:tabs>
              <w:rPr>
                <w:rFonts w:ascii="Arial" w:hAnsi="Arial" w:cs="Arial"/>
                <w:b/>
                <w:bCs/>
                <w:sz w:val="22"/>
                <w:szCs w:val="22"/>
              </w:rPr>
            </w:pPr>
          </w:p>
          <w:p w:rsidR="00406C93" w:rsidRPr="00717752" w:rsidRDefault="00406C93" w:rsidP="007245DE">
            <w:pPr>
              <w:pStyle w:val="Header"/>
              <w:tabs>
                <w:tab w:val="clear" w:pos="4153"/>
                <w:tab w:val="clear" w:pos="8306"/>
              </w:tabs>
              <w:rPr>
                <w:rFonts w:ascii="Arial" w:hAnsi="Arial" w:cs="Arial"/>
                <w:sz w:val="22"/>
                <w:szCs w:val="22"/>
              </w:rPr>
            </w:pPr>
            <w:r w:rsidRPr="00717752">
              <w:rPr>
                <w:rFonts w:ascii="Arial" w:hAnsi="Arial" w:cs="Arial"/>
                <w:b/>
                <w:bCs/>
                <w:sz w:val="22"/>
                <w:szCs w:val="22"/>
              </w:rPr>
              <w:t>Accountable Director:</w:t>
            </w:r>
            <w:r w:rsidRPr="00717752">
              <w:rPr>
                <w:rFonts w:ascii="Arial" w:hAnsi="Arial" w:cs="Arial"/>
                <w:sz w:val="22"/>
                <w:szCs w:val="22"/>
              </w:rPr>
              <w:t xml:space="preserve"> </w:t>
            </w:r>
          </w:p>
        </w:tc>
      </w:tr>
      <w:tr w:rsidR="00406C93" w:rsidRPr="00717752">
        <w:tc>
          <w:tcPr>
            <w:tcW w:w="9180" w:type="dxa"/>
            <w:gridSpan w:val="3"/>
            <w:tcBorders>
              <w:top w:val="single" w:sz="4" w:space="0" w:color="auto"/>
              <w:bottom w:val="single" w:sz="4" w:space="0" w:color="auto"/>
            </w:tcBorders>
          </w:tcPr>
          <w:p w:rsidR="007245DE" w:rsidRPr="00717752" w:rsidRDefault="007245DE" w:rsidP="007245DE">
            <w:pPr>
              <w:rPr>
                <w:rFonts w:ascii="Arial" w:hAnsi="Arial" w:cs="Arial"/>
                <w:b/>
                <w:bCs/>
                <w:sz w:val="22"/>
                <w:szCs w:val="22"/>
              </w:rPr>
            </w:pPr>
          </w:p>
          <w:p w:rsidR="00406C93" w:rsidRPr="00717752" w:rsidRDefault="00406C93" w:rsidP="007245DE">
            <w:pPr>
              <w:rPr>
                <w:rFonts w:ascii="Arial" w:hAnsi="Arial" w:cs="Arial"/>
                <w:sz w:val="22"/>
                <w:szCs w:val="22"/>
              </w:rPr>
            </w:pPr>
            <w:r w:rsidRPr="00717752">
              <w:rPr>
                <w:rFonts w:ascii="Arial" w:hAnsi="Arial" w:cs="Arial"/>
                <w:b/>
                <w:bCs/>
                <w:sz w:val="22"/>
                <w:szCs w:val="22"/>
              </w:rPr>
              <w:t>This report is</w:t>
            </w:r>
            <w:r w:rsidRPr="00717752">
              <w:rPr>
                <w:rFonts w:ascii="Arial" w:hAnsi="Arial" w:cs="Arial"/>
                <w:sz w:val="22"/>
                <w:szCs w:val="22"/>
              </w:rPr>
              <w:t xml:space="preserve"> </w:t>
            </w:r>
            <w:r w:rsidR="002F53D0" w:rsidRPr="00717752">
              <w:rPr>
                <w:rFonts w:ascii="Arial" w:hAnsi="Arial" w:cs="Arial"/>
                <w:sz w:val="22"/>
                <w:szCs w:val="22"/>
              </w:rPr>
              <w:t>Public</w:t>
            </w:r>
          </w:p>
        </w:tc>
      </w:tr>
    </w:tbl>
    <w:p w:rsidR="00406C93" w:rsidRPr="00717752" w:rsidRDefault="00406C93" w:rsidP="007245DE">
      <w:pPr>
        <w:pStyle w:val="Header"/>
        <w:tabs>
          <w:tab w:val="clear" w:pos="4153"/>
          <w:tab w:val="clear" w:pos="8306"/>
        </w:tabs>
        <w:ind w:left="720" w:hanging="720"/>
        <w:rPr>
          <w:rFonts w:ascii="Arial" w:hAnsi="Arial" w:cs="Arial"/>
          <w:sz w:val="22"/>
          <w:szCs w:val="22"/>
          <w:u w:val="single"/>
        </w:rPr>
      </w:pPr>
    </w:p>
    <w:p w:rsidR="007245DE" w:rsidRPr="00717752" w:rsidRDefault="007245DE" w:rsidP="007245DE">
      <w:pPr>
        <w:ind w:left="720" w:hanging="720"/>
        <w:rPr>
          <w:rFonts w:ascii="Arial" w:hAnsi="Arial" w:cs="Arial"/>
          <w:b/>
          <w:bCs/>
          <w:sz w:val="22"/>
          <w:szCs w:val="22"/>
        </w:rPr>
      </w:pPr>
      <w:r w:rsidRPr="00717752">
        <w:rPr>
          <w:rFonts w:ascii="Arial" w:hAnsi="Arial" w:cs="Arial"/>
          <w:b/>
          <w:bCs/>
          <w:sz w:val="22"/>
          <w:szCs w:val="22"/>
        </w:rPr>
        <w:t>1.</w:t>
      </w:r>
      <w:r w:rsidRPr="00717752">
        <w:rPr>
          <w:rFonts w:ascii="Arial" w:hAnsi="Arial" w:cs="Arial"/>
          <w:b/>
          <w:bCs/>
          <w:sz w:val="22"/>
          <w:szCs w:val="22"/>
        </w:rPr>
        <w:tab/>
      </w:r>
      <w:r w:rsidRPr="00717752">
        <w:rPr>
          <w:rFonts w:ascii="Arial" w:hAnsi="Arial" w:cs="Arial"/>
          <w:b/>
          <w:sz w:val="22"/>
          <w:szCs w:val="22"/>
        </w:rPr>
        <w:t>Introduction and Background</w:t>
      </w:r>
    </w:p>
    <w:p w:rsidR="007245DE" w:rsidRPr="00717752" w:rsidRDefault="007245DE" w:rsidP="007245DE">
      <w:pPr>
        <w:ind w:left="720" w:hanging="720"/>
        <w:rPr>
          <w:rFonts w:ascii="Arial" w:hAnsi="Arial" w:cs="Arial"/>
          <w:sz w:val="22"/>
          <w:szCs w:val="22"/>
        </w:rPr>
      </w:pPr>
    </w:p>
    <w:p w:rsidR="007245DE" w:rsidRPr="00717752" w:rsidRDefault="007245DE" w:rsidP="007245DE">
      <w:pPr>
        <w:pStyle w:val="ListParagraph"/>
        <w:spacing w:after="0" w:line="240" w:lineRule="auto"/>
        <w:ind w:left="0"/>
        <w:rPr>
          <w:rFonts w:ascii="Arial" w:hAnsi="Arial" w:cs="Arial"/>
        </w:rPr>
      </w:pPr>
      <w:r w:rsidRPr="00717752">
        <w:rPr>
          <w:rFonts w:ascii="Arial" w:hAnsi="Arial" w:cs="Arial"/>
        </w:rPr>
        <w:t>1.1</w:t>
      </w:r>
      <w:r w:rsidRPr="00717752">
        <w:rPr>
          <w:rFonts w:ascii="Arial" w:hAnsi="Arial" w:cs="Arial"/>
        </w:rPr>
        <w:tab/>
        <w:t xml:space="preserve">Section 194 of the Health and Social Care Act 2012 requires Thurrock Council to establish a Health and Wellbeing Board.  The Health and Wellbeing Board is the primary partnership body in Thurrock that is responsible for creating and overseeing Thurrock’s Statutory Health and Wellbeing Strategy.   </w:t>
      </w:r>
    </w:p>
    <w:p w:rsidR="007245DE" w:rsidRPr="00717752" w:rsidRDefault="007245DE" w:rsidP="007245DE">
      <w:pPr>
        <w:pStyle w:val="ListParagraph"/>
        <w:spacing w:after="0" w:line="240" w:lineRule="auto"/>
        <w:ind w:left="284"/>
        <w:rPr>
          <w:rFonts w:ascii="Arial" w:hAnsi="Arial" w:cs="Arial"/>
        </w:rPr>
      </w:pPr>
    </w:p>
    <w:p w:rsidR="007245DE" w:rsidRPr="00717752" w:rsidRDefault="007245DE" w:rsidP="007245DE">
      <w:pPr>
        <w:pStyle w:val="ListParagraph"/>
        <w:spacing w:after="0" w:line="240" w:lineRule="auto"/>
        <w:ind w:left="0"/>
        <w:rPr>
          <w:rFonts w:ascii="Arial" w:hAnsi="Arial" w:cs="Arial"/>
        </w:rPr>
      </w:pPr>
      <w:r w:rsidRPr="00717752">
        <w:rPr>
          <w:rFonts w:ascii="Arial" w:hAnsi="Arial" w:cs="Arial"/>
        </w:rPr>
        <w:t>1.2   The Health and Wellbeing Strategy identifies priorities for reducing inequalities in health and wellbeing and improving the health and wellbeing of the local population.  The Strategies are prepared jointly by the Council and CCG and owned by Health and Wellbeing Boards who are then responsible for overseeing their delivery.</w:t>
      </w:r>
    </w:p>
    <w:p w:rsidR="007245DE" w:rsidRPr="00717752" w:rsidRDefault="007245DE" w:rsidP="007245DE">
      <w:pPr>
        <w:pStyle w:val="ListParagraph"/>
        <w:spacing w:after="0" w:line="240" w:lineRule="auto"/>
        <w:ind w:left="0"/>
        <w:rPr>
          <w:rFonts w:ascii="Arial" w:hAnsi="Arial" w:cs="Arial"/>
        </w:rPr>
      </w:pPr>
    </w:p>
    <w:p w:rsidR="006D6A1D" w:rsidRDefault="006D6A1D" w:rsidP="007245DE">
      <w:pPr>
        <w:pStyle w:val="ListParagraph"/>
        <w:spacing w:after="0" w:line="240" w:lineRule="auto"/>
        <w:ind w:left="0"/>
        <w:rPr>
          <w:rFonts w:ascii="Arial" w:hAnsi="Arial" w:cs="Arial"/>
        </w:rPr>
      </w:pPr>
      <w:r>
        <w:rPr>
          <w:rFonts w:ascii="Arial" w:hAnsi="Arial" w:cs="Arial"/>
        </w:rPr>
        <w:t>1.3   The second and current S</w:t>
      </w:r>
      <w:r w:rsidR="007245DE" w:rsidRPr="00717752">
        <w:rPr>
          <w:rFonts w:ascii="Arial" w:hAnsi="Arial" w:cs="Arial"/>
        </w:rPr>
        <w:t xml:space="preserve">trategy was launched in July 2016 and its lifespan was extended from 3 to 5 years.  This was because the action necessary on the wider determinants of health, which supports the achievement of good health and wellbeing for all Thurrock people is reflected in the current strategy, which take some time to impact on the life chances of the population.  </w:t>
      </w:r>
    </w:p>
    <w:p w:rsidR="006D6A1D" w:rsidRDefault="006D6A1D" w:rsidP="007245DE">
      <w:pPr>
        <w:pStyle w:val="ListParagraph"/>
        <w:spacing w:after="0" w:line="240" w:lineRule="auto"/>
        <w:ind w:left="0"/>
        <w:rPr>
          <w:rFonts w:ascii="Arial" w:hAnsi="Arial" w:cs="Arial"/>
        </w:rPr>
      </w:pPr>
    </w:p>
    <w:p w:rsidR="007245DE" w:rsidRPr="005D004B" w:rsidRDefault="006D6A1D" w:rsidP="007245DE">
      <w:pPr>
        <w:pStyle w:val="ListParagraph"/>
        <w:spacing w:after="0" w:line="240" w:lineRule="auto"/>
        <w:ind w:left="0"/>
        <w:rPr>
          <w:rFonts w:ascii="Arial" w:hAnsi="Arial" w:cs="Arial"/>
        </w:rPr>
      </w:pPr>
      <w:r w:rsidRPr="005D004B">
        <w:rPr>
          <w:rFonts w:ascii="Arial" w:hAnsi="Arial" w:cs="Arial"/>
        </w:rPr>
        <w:t xml:space="preserve">1.4 </w:t>
      </w:r>
      <w:r w:rsidR="009E22D1" w:rsidRPr="005D004B">
        <w:rPr>
          <w:rFonts w:ascii="Arial" w:hAnsi="Arial" w:cs="Arial"/>
        </w:rPr>
        <w:t>Since the Strategy’s launch in 2016 there have been nationally driven changes made to local health structures and the creation of the Mid and South Essex Health and Care Partnership</w:t>
      </w:r>
      <w:r w:rsidR="005D004B">
        <w:rPr>
          <w:rFonts w:ascii="Arial" w:hAnsi="Arial" w:cs="Arial"/>
        </w:rPr>
        <w:t xml:space="preserve"> and further development of Integrated Care Systems</w:t>
      </w:r>
      <w:r w:rsidR="009E22D1" w:rsidRPr="005D004B">
        <w:rPr>
          <w:rFonts w:ascii="Arial" w:hAnsi="Arial" w:cs="Arial"/>
        </w:rPr>
        <w:t>.  Further evidence has emerged on the wider determinants of health and wellbeing and potential new priorities cannot be incorporated into the current Strategy Framework.</w:t>
      </w:r>
      <w:r w:rsidR="00DF243C" w:rsidRPr="005D004B">
        <w:rPr>
          <w:rFonts w:ascii="Arial" w:hAnsi="Arial" w:cs="Arial"/>
        </w:rPr>
        <w:t xml:space="preserve">  Given the current Strategy was subject to extensive public and partner engagement, the refresh exercise will consider how the framework can be tweaked to incorporate current and future health and care priorities.  </w:t>
      </w:r>
    </w:p>
    <w:p w:rsidR="0083792A" w:rsidRPr="005D004B" w:rsidRDefault="0083792A" w:rsidP="007245DE">
      <w:pPr>
        <w:pStyle w:val="ListParagraph"/>
        <w:spacing w:after="0" w:line="240" w:lineRule="auto"/>
        <w:ind w:left="0"/>
        <w:rPr>
          <w:rFonts w:ascii="Arial" w:hAnsi="Arial" w:cs="Arial"/>
        </w:rPr>
      </w:pPr>
    </w:p>
    <w:p w:rsidR="0083792A" w:rsidRPr="005D004B" w:rsidRDefault="0083792A" w:rsidP="007245DE">
      <w:pPr>
        <w:pStyle w:val="ListParagraph"/>
        <w:spacing w:after="0" w:line="240" w:lineRule="auto"/>
        <w:ind w:left="0"/>
        <w:rPr>
          <w:rFonts w:ascii="Arial" w:hAnsi="Arial" w:cs="Arial"/>
        </w:rPr>
      </w:pPr>
      <w:r w:rsidRPr="005D004B">
        <w:rPr>
          <w:rFonts w:ascii="Arial" w:hAnsi="Arial" w:cs="Arial"/>
        </w:rPr>
        <w:t>1.5  The COVID-19 Pandemic</w:t>
      </w:r>
      <w:r w:rsidR="00C2067B" w:rsidRPr="005D004B">
        <w:rPr>
          <w:rFonts w:ascii="Arial" w:hAnsi="Arial" w:cs="Arial"/>
        </w:rPr>
        <w:t xml:space="preserve"> resulted in action</w:t>
      </w:r>
      <w:r w:rsidRPr="005D004B">
        <w:rPr>
          <w:rFonts w:ascii="Arial" w:hAnsi="Arial" w:cs="Arial"/>
        </w:rPr>
        <w:t xml:space="preserve"> has impa</w:t>
      </w:r>
      <w:r w:rsidR="009E22D1" w:rsidRPr="005D004B">
        <w:rPr>
          <w:rFonts w:ascii="Arial" w:hAnsi="Arial" w:cs="Arial"/>
        </w:rPr>
        <w:t>cted on the planning and delivery of</w:t>
      </w:r>
      <w:r w:rsidR="00C2067B" w:rsidRPr="005D004B">
        <w:rPr>
          <w:rFonts w:ascii="Arial" w:hAnsi="Arial" w:cs="Arial"/>
        </w:rPr>
        <w:t xml:space="preserve"> services and future operation models and a refreshed Strategy will take into account the impact of COVID-19, including utilising the positive lessons learned from COVID-19, while </w:t>
      </w:r>
      <w:r w:rsidR="00C2067B" w:rsidRPr="00B824C1">
        <w:rPr>
          <w:rFonts w:ascii="Arial" w:hAnsi="Arial" w:cs="Arial"/>
        </w:rPr>
        <w:t>addressing some of the potential challenges.</w:t>
      </w:r>
      <w:r w:rsidR="009E22D1" w:rsidRPr="00B824C1">
        <w:rPr>
          <w:rFonts w:ascii="Arial" w:hAnsi="Arial" w:cs="Arial"/>
        </w:rPr>
        <w:t xml:space="preserve"> </w:t>
      </w:r>
      <w:r w:rsidR="003776D4" w:rsidRPr="00B824C1">
        <w:rPr>
          <w:rFonts w:ascii="Arial" w:hAnsi="Arial" w:cs="Arial"/>
        </w:rPr>
        <w:t xml:space="preserve">  We are now also aware of</w:t>
      </w:r>
      <w:r w:rsidR="00B824C1" w:rsidRPr="00B824C1">
        <w:rPr>
          <w:rFonts w:ascii="Arial" w:hAnsi="Arial" w:cs="Arial"/>
        </w:rPr>
        <w:t xml:space="preserve"> over 4000</w:t>
      </w:r>
      <w:r w:rsidR="003776D4" w:rsidRPr="00B824C1">
        <w:rPr>
          <w:rFonts w:ascii="Arial" w:hAnsi="Arial" w:cs="Arial"/>
        </w:rPr>
        <w:t xml:space="preserve"> people</w:t>
      </w:r>
      <w:r w:rsidR="003776D4" w:rsidRPr="005D004B">
        <w:rPr>
          <w:rFonts w:ascii="Arial" w:hAnsi="Arial" w:cs="Arial"/>
        </w:rPr>
        <w:t xml:space="preserve"> in Thurrock who were required to adopt shielding to reduce the impact of catching the virus.</w:t>
      </w:r>
      <w:r w:rsidR="005778A5" w:rsidRPr="005D004B">
        <w:rPr>
          <w:rFonts w:ascii="Arial" w:hAnsi="Arial" w:cs="Arial"/>
        </w:rPr>
        <w:t xml:space="preserve">  Priorities identified within the refreshed Strategy will </w:t>
      </w:r>
      <w:r w:rsidR="005D004B">
        <w:rPr>
          <w:rFonts w:ascii="Arial" w:hAnsi="Arial" w:cs="Arial"/>
        </w:rPr>
        <w:t xml:space="preserve">need to continue to consider how to tackle health inequalities and provide health and care support to the most vulnerable residents of Thurrock.  </w:t>
      </w:r>
    </w:p>
    <w:p w:rsidR="00141E7C" w:rsidRPr="005D004B" w:rsidRDefault="00141E7C" w:rsidP="007245DE">
      <w:pPr>
        <w:pStyle w:val="ListParagraph"/>
        <w:spacing w:after="0" w:line="240" w:lineRule="auto"/>
        <w:rPr>
          <w:rFonts w:ascii="Arial" w:hAnsi="Arial" w:cs="Arial"/>
        </w:rPr>
      </w:pPr>
    </w:p>
    <w:p w:rsidR="00DF243C" w:rsidRDefault="00DF243C" w:rsidP="007245DE">
      <w:pPr>
        <w:pStyle w:val="ListParagraph"/>
        <w:spacing w:after="0" w:line="240" w:lineRule="auto"/>
        <w:rPr>
          <w:rFonts w:ascii="Arial" w:hAnsi="Arial" w:cs="Arial"/>
        </w:rPr>
      </w:pPr>
    </w:p>
    <w:p w:rsidR="00562219" w:rsidRDefault="00562219" w:rsidP="007245DE">
      <w:pPr>
        <w:pStyle w:val="ListParagraph"/>
        <w:spacing w:after="0" w:line="240" w:lineRule="auto"/>
        <w:rPr>
          <w:rFonts w:ascii="Arial" w:hAnsi="Arial" w:cs="Arial"/>
        </w:rPr>
      </w:pPr>
    </w:p>
    <w:p w:rsidR="00BE40A5" w:rsidRDefault="00BE40A5" w:rsidP="007245DE">
      <w:pPr>
        <w:pStyle w:val="ListParagraph"/>
        <w:spacing w:after="0" w:line="240" w:lineRule="auto"/>
        <w:rPr>
          <w:rFonts w:ascii="Arial" w:hAnsi="Arial" w:cs="Arial"/>
        </w:rPr>
      </w:pPr>
    </w:p>
    <w:p w:rsidR="00406C93" w:rsidRPr="00717752" w:rsidRDefault="007245DE" w:rsidP="007245DE">
      <w:pPr>
        <w:rPr>
          <w:rFonts w:ascii="Arial" w:hAnsi="Arial" w:cs="Arial"/>
          <w:b/>
          <w:bCs/>
          <w:sz w:val="22"/>
          <w:szCs w:val="22"/>
        </w:rPr>
      </w:pPr>
      <w:r w:rsidRPr="00717752">
        <w:rPr>
          <w:rFonts w:ascii="Arial" w:hAnsi="Arial" w:cs="Arial"/>
          <w:b/>
          <w:bCs/>
          <w:sz w:val="22"/>
          <w:szCs w:val="22"/>
        </w:rPr>
        <w:lastRenderedPageBreak/>
        <w:t>2</w:t>
      </w:r>
      <w:r w:rsidR="006D6A1D">
        <w:rPr>
          <w:rFonts w:ascii="Arial" w:hAnsi="Arial" w:cs="Arial"/>
          <w:b/>
          <w:bCs/>
          <w:sz w:val="22"/>
          <w:szCs w:val="22"/>
        </w:rPr>
        <w:t>.</w:t>
      </w:r>
      <w:r w:rsidR="006D6A1D">
        <w:rPr>
          <w:rFonts w:ascii="Arial" w:hAnsi="Arial" w:cs="Arial"/>
          <w:b/>
          <w:bCs/>
          <w:sz w:val="22"/>
          <w:szCs w:val="22"/>
        </w:rPr>
        <w:tab/>
      </w:r>
      <w:r w:rsidR="007D4918" w:rsidRPr="00717752">
        <w:rPr>
          <w:rFonts w:ascii="Arial" w:hAnsi="Arial" w:cs="Arial"/>
          <w:b/>
          <w:bCs/>
          <w:sz w:val="22"/>
          <w:szCs w:val="22"/>
        </w:rPr>
        <w:t>Recommendation(s)</w:t>
      </w:r>
    </w:p>
    <w:p w:rsidR="007245DE" w:rsidRPr="00717752" w:rsidRDefault="007245DE" w:rsidP="007245DE">
      <w:pPr>
        <w:pStyle w:val="ListParagraph"/>
        <w:spacing w:after="0" w:line="240" w:lineRule="auto"/>
        <w:ind w:left="0"/>
        <w:rPr>
          <w:rFonts w:ascii="Arial" w:eastAsia="Times New Roman" w:hAnsi="Arial" w:cs="Arial"/>
          <w:b/>
          <w:bCs/>
        </w:rPr>
      </w:pPr>
    </w:p>
    <w:p w:rsidR="00F745CD" w:rsidRDefault="007245DE" w:rsidP="007245DE">
      <w:pPr>
        <w:pStyle w:val="ListParagraph"/>
        <w:spacing w:after="0" w:line="240" w:lineRule="auto"/>
        <w:ind w:left="0"/>
        <w:rPr>
          <w:rFonts w:ascii="Arial" w:hAnsi="Arial" w:cs="Arial"/>
        </w:rPr>
      </w:pPr>
      <w:r w:rsidRPr="00717752">
        <w:rPr>
          <w:rFonts w:ascii="Arial" w:hAnsi="Arial" w:cs="Arial"/>
        </w:rPr>
        <w:t xml:space="preserve">2.1 </w:t>
      </w:r>
      <w:r w:rsidR="000D66F4" w:rsidRPr="00717752">
        <w:rPr>
          <w:rFonts w:ascii="Arial" w:hAnsi="Arial" w:cs="Arial"/>
        </w:rPr>
        <w:t>It is recommended that</w:t>
      </w:r>
      <w:r w:rsidR="005D004B">
        <w:rPr>
          <w:rFonts w:ascii="Arial" w:hAnsi="Arial" w:cs="Arial"/>
        </w:rPr>
        <w:t xml:space="preserve"> Board members</w:t>
      </w:r>
      <w:r w:rsidR="00F745CD" w:rsidRPr="00717752">
        <w:rPr>
          <w:rFonts w:ascii="Arial" w:hAnsi="Arial" w:cs="Arial"/>
        </w:rPr>
        <w:t>:</w:t>
      </w:r>
    </w:p>
    <w:p w:rsidR="002D2EBC" w:rsidRPr="00717752" w:rsidRDefault="002D2EBC" w:rsidP="007245DE">
      <w:pPr>
        <w:pStyle w:val="ListParagraph"/>
        <w:spacing w:after="0" w:line="240" w:lineRule="auto"/>
        <w:ind w:left="0"/>
        <w:rPr>
          <w:rFonts w:ascii="Arial" w:hAnsi="Arial" w:cs="Arial"/>
        </w:rPr>
      </w:pPr>
    </w:p>
    <w:p w:rsidR="00F745CD" w:rsidRPr="00717752" w:rsidRDefault="005D004B" w:rsidP="00BA5171">
      <w:pPr>
        <w:pStyle w:val="ListParagraph"/>
        <w:numPr>
          <w:ilvl w:val="0"/>
          <w:numId w:val="4"/>
        </w:numPr>
        <w:spacing w:after="0" w:line="240" w:lineRule="auto"/>
        <w:rPr>
          <w:rFonts w:ascii="Arial" w:hAnsi="Arial" w:cs="Arial"/>
        </w:rPr>
      </w:pPr>
      <w:r>
        <w:rPr>
          <w:rFonts w:ascii="Arial" w:hAnsi="Arial" w:cs="Arial"/>
        </w:rPr>
        <w:t>A</w:t>
      </w:r>
      <w:r w:rsidR="007B660D" w:rsidRPr="00717752">
        <w:rPr>
          <w:rFonts w:ascii="Arial" w:hAnsi="Arial" w:cs="Arial"/>
        </w:rPr>
        <w:t xml:space="preserve">grees that </w:t>
      </w:r>
      <w:r w:rsidR="000D66F4" w:rsidRPr="00717752">
        <w:rPr>
          <w:rFonts w:ascii="Arial" w:hAnsi="Arial" w:cs="Arial"/>
        </w:rPr>
        <w:t>Thurrock Health and Wellbeing Strategy 2016-2021 is refreshed along the lines of pro</w:t>
      </w:r>
      <w:r w:rsidR="00646C0C" w:rsidRPr="00717752">
        <w:rPr>
          <w:rFonts w:ascii="Arial" w:hAnsi="Arial" w:cs="Arial"/>
        </w:rPr>
        <w:t>posals set out within this report</w:t>
      </w:r>
      <w:r w:rsidR="000D66F4" w:rsidRPr="00717752">
        <w:rPr>
          <w:rFonts w:ascii="Arial" w:hAnsi="Arial" w:cs="Arial"/>
        </w:rPr>
        <w:t xml:space="preserve">. </w:t>
      </w:r>
    </w:p>
    <w:p w:rsidR="00EB0496" w:rsidRDefault="005D004B" w:rsidP="00BA5171">
      <w:pPr>
        <w:pStyle w:val="ListParagraph"/>
        <w:numPr>
          <w:ilvl w:val="0"/>
          <w:numId w:val="4"/>
        </w:numPr>
        <w:spacing w:after="0" w:line="240" w:lineRule="auto"/>
        <w:rPr>
          <w:rFonts w:ascii="Arial" w:hAnsi="Arial" w:cs="Arial"/>
        </w:rPr>
      </w:pPr>
      <w:r>
        <w:rPr>
          <w:rFonts w:ascii="Arial" w:hAnsi="Arial" w:cs="Arial"/>
        </w:rPr>
        <w:t>A</w:t>
      </w:r>
      <w:r w:rsidR="006347A8">
        <w:rPr>
          <w:rFonts w:ascii="Arial" w:hAnsi="Arial" w:cs="Arial"/>
        </w:rPr>
        <w:t xml:space="preserve">grees that a </w:t>
      </w:r>
      <w:r w:rsidR="00646C0C" w:rsidRPr="00717752">
        <w:rPr>
          <w:rFonts w:ascii="Arial" w:hAnsi="Arial" w:cs="Arial"/>
        </w:rPr>
        <w:t xml:space="preserve">task and finish </w:t>
      </w:r>
      <w:r w:rsidR="00EB0496" w:rsidRPr="00717752">
        <w:rPr>
          <w:rFonts w:ascii="Arial" w:hAnsi="Arial" w:cs="Arial"/>
        </w:rPr>
        <w:t xml:space="preserve">group </w:t>
      </w:r>
      <w:r w:rsidR="006347A8">
        <w:rPr>
          <w:rFonts w:ascii="Arial" w:hAnsi="Arial" w:cs="Arial"/>
        </w:rPr>
        <w:t xml:space="preserve">should be established </w:t>
      </w:r>
      <w:r w:rsidR="00EB0496" w:rsidRPr="00717752">
        <w:rPr>
          <w:rFonts w:ascii="Arial" w:hAnsi="Arial" w:cs="Arial"/>
        </w:rPr>
        <w:t>to drive forw</w:t>
      </w:r>
      <w:r w:rsidR="00646C0C" w:rsidRPr="00717752">
        <w:rPr>
          <w:rFonts w:ascii="Arial" w:hAnsi="Arial" w:cs="Arial"/>
        </w:rPr>
        <w:t>ard the refresh of the Strategy</w:t>
      </w:r>
      <w:r w:rsidR="00EB0496" w:rsidRPr="00717752">
        <w:rPr>
          <w:rFonts w:ascii="Arial" w:hAnsi="Arial" w:cs="Arial"/>
        </w:rPr>
        <w:t xml:space="preserve">.  </w:t>
      </w:r>
    </w:p>
    <w:p w:rsidR="005D004B" w:rsidRPr="00717752" w:rsidRDefault="005D004B" w:rsidP="00BA5171">
      <w:pPr>
        <w:pStyle w:val="ListParagraph"/>
        <w:numPr>
          <w:ilvl w:val="0"/>
          <w:numId w:val="4"/>
        </w:numPr>
        <w:spacing w:after="0" w:line="240" w:lineRule="auto"/>
        <w:rPr>
          <w:rFonts w:ascii="Arial" w:hAnsi="Arial" w:cs="Arial"/>
        </w:rPr>
      </w:pPr>
      <w:r>
        <w:rPr>
          <w:rFonts w:ascii="Arial" w:hAnsi="Arial" w:cs="Arial"/>
        </w:rPr>
        <w:t xml:space="preserve">Considers how the HWB Strategy is resourced post September 2020 to support the delivery of the refresh and continued oversight, engagement, and driving forward of the strategy once the refresh is launched in July 2021.  </w:t>
      </w:r>
    </w:p>
    <w:p w:rsidR="002F53D0" w:rsidRPr="00717752" w:rsidRDefault="002F53D0" w:rsidP="007245DE">
      <w:pPr>
        <w:rPr>
          <w:rFonts w:ascii="Arial" w:hAnsi="Arial" w:cs="Arial"/>
          <w:sz w:val="22"/>
          <w:szCs w:val="22"/>
        </w:rPr>
      </w:pPr>
    </w:p>
    <w:p w:rsidR="00406C93" w:rsidRPr="00717752" w:rsidRDefault="005126CE" w:rsidP="007245DE">
      <w:pPr>
        <w:ind w:left="720" w:hanging="720"/>
        <w:rPr>
          <w:rFonts w:ascii="Arial" w:hAnsi="Arial" w:cs="Arial"/>
          <w:b/>
          <w:bCs/>
          <w:sz w:val="22"/>
          <w:szCs w:val="22"/>
        </w:rPr>
      </w:pPr>
      <w:r w:rsidRPr="00717752">
        <w:rPr>
          <w:rFonts w:ascii="Arial" w:hAnsi="Arial" w:cs="Arial"/>
          <w:b/>
          <w:bCs/>
          <w:sz w:val="22"/>
          <w:szCs w:val="22"/>
        </w:rPr>
        <w:t>3</w:t>
      </w:r>
      <w:r w:rsidR="00406C93" w:rsidRPr="00717752">
        <w:rPr>
          <w:rFonts w:ascii="Arial" w:hAnsi="Arial" w:cs="Arial"/>
          <w:b/>
          <w:bCs/>
          <w:sz w:val="22"/>
          <w:szCs w:val="22"/>
        </w:rPr>
        <w:t>.</w:t>
      </w:r>
      <w:r w:rsidR="00406C93" w:rsidRPr="00717752">
        <w:rPr>
          <w:rFonts w:ascii="Arial" w:hAnsi="Arial" w:cs="Arial"/>
          <w:b/>
          <w:bCs/>
          <w:sz w:val="22"/>
          <w:szCs w:val="22"/>
        </w:rPr>
        <w:tab/>
      </w:r>
      <w:r w:rsidR="007D4918" w:rsidRPr="00717752">
        <w:rPr>
          <w:rFonts w:ascii="Arial" w:hAnsi="Arial" w:cs="Arial"/>
          <w:b/>
          <w:sz w:val="22"/>
          <w:szCs w:val="22"/>
        </w:rPr>
        <w:t>Issues, Options and Analysis of Options</w:t>
      </w:r>
    </w:p>
    <w:p w:rsidR="00406C93" w:rsidRDefault="00406C93" w:rsidP="007245DE">
      <w:pPr>
        <w:ind w:left="720" w:hanging="720"/>
        <w:rPr>
          <w:rFonts w:ascii="Arial" w:hAnsi="Arial" w:cs="Arial"/>
          <w:sz w:val="22"/>
          <w:szCs w:val="22"/>
        </w:rPr>
      </w:pPr>
    </w:p>
    <w:p w:rsidR="006D6A1D" w:rsidRPr="006D6A1D" w:rsidRDefault="006D6A1D" w:rsidP="007245DE">
      <w:pPr>
        <w:ind w:left="720" w:hanging="720"/>
        <w:rPr>
          <w:rFonts w:ascii="Arial" w:hAnsi="Arial" w:cs="Arial"/>
          <w:sz w:val="22"/>
          <w:szCs w:val="22"/>
          <w:u w:val="single"/>
        </w:rPr>
      </w:pPr>
      <w:r>
        <w:rPr>
          <w:rFonts w:ascii="Arial" w:hAnsi="Arial" w:cs="Arial"/>
          <w:sz w:val="22"/>
          <w:szCs w:val="22"/>
          <w:u w:val="single"/>
        </w:rPr>
        <w:t xml:space="preserve">Summary </w:t>
      </w:r>
    </w:p>
    <w:p w:rsidR="006D6A1D" w:rsidRPr="00717752" w:rsidRDefault="006D6A1D" w:rsidP="007245DE">
      <w:pPr>
        <w:ind w:left="720" w:hanging="720"/>
        <w:rPr>
          <w:rFonts w:ascii="Arial" w:hAnsi="Arial" w:cs="Arial"/>
          <w:sz w:val="22"/>
          <w:szCs w:val="22"/>
        </w:rPr>
      </w:pPr>
    </w:p>
    <w:p w:rsidR="000D66F4" w:rsidRPr="00717752" w:rsidRDefault="005126CE" w:rsidP="007245DE">
      <w:pPr>
        <w:rPr>
          <w:rFonts w:ascii="Arial" w:hAnsi="Arial" w:cs="Arial"/>
          <w:sz w:val="22"/>
          <w:szCs w:val="22"/>
        </w:rPr>
      </w:pPr>
      <w:r w:rsidRPr="00717752">
        <w:rPr>
          <w:rFonts w:ascii="Arial" w:hAnsi="Arial" w:cs="Arial"/>
          <w:sz w:val="22"/>
          <w:szCs w:val="22"/>
        </w:rPr>
        <w:t>3</w:t>
      </w:r>
      <w:r w:rsidR="00406C93" w:rsidRPr="00717752">
        <w:rPr>
          <w:rFonts w:ascii="Arial" w:hAnsi="Arial" w:cs="Arial"/>
          <w:sz w:val="22"/>
          <w:szCs w:val="22"/>
        </w:rPr>
        <w:t>.1</w:t>
      </w:r>
      <w:r w:rsidR="00406C93" w:rsidRPr="00717752">
        <w:rPr>
          <w:rFonts w:ascii="Arial" w:hAnsi="Arial" w:cs="Arial"/>
          <w:sz w:val="22"/>
          <w:szCs w:val="22"/>
        </w:rPr>
        <w:tab/>
      </w:r>
      <w:r w:rsidR="000D66F4" w:rsidRPr="00717752">
        <w:rPr>
          <w:rFonts w:ascii="Arial" w:hAnsi="Arial" w:cs="Arial"/>
          <w:sz w:val="22"/>
          <w:szCs w:val="22"/>
        </w:rPr>
        <w:t>The Health and Wellbeing Strategy is live and organic and has been amended to reflect new priorities and reinforced links with programmes that impact on people’s the health and wellbeing.  However, there is an increasing risk that emerging priorities and programmes being developed cannot be incorporated or reflected within the current strategy framework.</w:t>
      </w:r>
    </w:p>
    <w:p w:rsidR="000D66F4" w:rsidRPr="00717752" w:rsidRDefault="000D66F4" w:rsidP="007245DE">
      <w:pPr>
        <w:rPr>
          <w:rFonts w:ascii="Arial" w:hAnsi="Arial" w:cs="Arial"/>
          <w:sz w:val="22"/>
          <w:szCs w:val="22"/>
        </w:rPr>
      </w:pPr>
    </w:p>
    <w:p w:rsidR="000D66F4" w:rsidRPr="00717752" w:rsidRDefault="000D66F4" w:rsidP="007245DE">
      <w:pPr>
        <w:rPr>
          <w:rFonts w:ascii="Arial" w:hAnsi="Arial" w:cs="Arial"/>
          <w:sz w:val="22"/>
          <w:szCs w:val="22"/>
        </w:rPr>
      </w:pPr>
      <w:r w:rsidRPr="00717752">
        <w:rPr>
          <w:rFonts w:ascii="Arial" w:hAnsi="Arial" w:cs="Arial"/>
          <w:sz w:val="22"/>
          <w:szCs w:val="22"/>
        </w:rPr>
        <w:t>3.2   The Strategy is scheduled to be refreshed in July 2021.  However</w:t>
      </w:r>
      <w:r w:rsidR="00646C0C" w:rsidRPr="00717752">
        <w:rPr>
          <w:rFonts w:ascii="Arial" w:hAnsi="Arial" w:cs="Arial"/>
          <w:sz w:val="22"/>
          <w:szCs w:val="22"/>
        </w:rPr>
        <w:t>,</w:t>
      </w:r>
      <w:r w:rsidRPr="00717752">
        <w:rPr>
          <w:rFonts w:ascii="Arial" w:hAnsi="Arial" w:cs="Arial"/>
          <w:sz w:val="22"/>
          <w:szCs w:val="22"/>
        </w:rPr>
        <w:t xml:space="preserve"> there have been significant national policy drivers that affect people’s health and wellbeing and the planning and commissioning of services provided to support improved outcomes.  These include:</w:t>
      </w:r>
    </w:p>
    <w:p w:rsidR="000D66F4" w:rsidRPr="00717752" w:rsidRDefault="000D66F4" w:rsidP="00BA5171">
      <w:pPr>
        <w:pStyle w:val="ListParagraph"/>
        <w:numPr>
          <w:ilvl w:val="0"/>
          <w:numId w:val="2"/>
        </w:numPr>
        <w:spacing w:after="0" w:line="240" w:lineRule="auto"/>
        <w:ind w:left="993"/>
        <w:rPr>
          <w:rFonts w:ascii="Arial" w:hAnsi="Arial" w:cs="Arial"/>
        </w:rPr>
      </w:pPr>
      <w:r w:rsidRPr="00717752">
        <w:rPr>
          <w:rFonts w:ascii="Arial" w:hAnsi="Arial" w:cs="Arial"/>
        </w:rPr>
        <w:t>The NHS Long Term Plan, which is already impacting on the future planning, commissioning and provision of services for the residents of Thurrock.  This includes the establishment of the Mid and South Essex</w:t>
      </w:r>
      <w:r w:rsidR="002F53D0" w:rsidRPr="00717752">
        <w:rPr>
          <w:rFonts w:ascii="Arial" w:hAnsi="Arial" w:cs="Arial"/>
        </w:rPr>
        <w:t xml:space="preserve"> Health and Care Partnership (previously referred to as the Mid and South Essex </w:t>
      </w:r>
      <w:r w:rsidRPr="00717752">
        <w:rPr>
          <w:rFonts w:ascii="Arial" w:hAnsi="Arial" w:cs="Arial"/>
        </w:rPr>
        <w:t xml:space="preserve">Sustainability </w:t>
      </w:r>
      <w:r w:rsidR="002F53D0" w:rsidRPr="00717752">
        <w:rPr>
          <w:rFonts w:ascii="Arial" w:hAnsi="Arial" w:cs="Arial"/>
        </w:rPr>
        <w:t xml:space="preserve">and Transformation Partnership) </w:t>
      </w:r>
      <w:r w:rsidRPr="00717752">
        <w:rPr>
          <w:rFonts w:ascii="Arial" w:hAnsi="Arial" w:cs="Arial"/>
        </w:rPr>
        <w:t>and a shift towards planning and commissioning services at the different geographical levels (System (STP), Place (Thurrock CCG and Council) and Neighbourhood /Locality level/Primary Care Network).</w:t>
      </w:r>
      <w:r w:rsidR="00B14D30">
        <w:rPr>
          <w:rFonts w:ascii="Arial" w:hAnsi="Arial" w:cs="Arial"/>
        </w:rPr>
        <w:t xml:space="preserve">  Subject to the Board’s approval the refreshed Health and Wellbeing Strategy will reflect the MOU being considered by members at today’s meeting.  </w:t>
      </w:r>
    </w:p>
    <w:p w:rsidR="005D004B" w:rsidRDefault="000D66F4" w:rsidP="000018E2">
      <w:pPr>
        <w:pStyle w:val="ListParagraph"/>
        <w:numPr>
          <w:ilvl w:val="0"/>
          <w:numId w:val="2"/>
        </w:numPr>
        <w:spacing w:after="0" w:line="240" w:lineRule="auto"/>
        <w:ind w:left="993"/>
        <w:rPr>
          <w:rFonts w:ascii="Arial" w:hAnsi="Arial" w:cs="Arial"/>
        </w:rPr>
      </w:pPr>
      <w:r w:rsidRPr="005D004B">
        <w:rPr>
          <w:rFonts w:ascii="Arial" w:hAnsi="Arial" w:cs="Arial"/>
        </w:rPr>
        <w:t xml:space="preserve">Homelessness regulations introduced in April 2019, placing a duty on local authorities to support residents who are homeless or at risk of homelessness, which impacts on their health and wellbeing.  Refreshing the Strategy will provide an opportunity to capture more action on housing that </w:t>
      </w:r>
      <w:r w:rsidR="005D004B">
        <w:rPr>
          <w:rFonts w:ascii="Arial" w:hAnsi="Arial" w:cs="Arial"/>
        </w:rPr>
        <w:t>impacts on health and wellbeing</w:t>
      </w:r>
      <w:r w:rsidR="00B14D30">
        <w:rPr>
          <w:rFonts w:ascii="Arial" w:hAnsi="Arial" w:cs="Arial"/>
        </w:rPr>
        <w:t xml:space="preserve"> including the quality of housing and tackling fuel poverty</w:t>
      </w:r>
      <w:r w:rsidR="005D004B">
        <w:rPr>
          <w:rFonts w:ascii="Arial" w:hAnsi="Arial" w:cs="Arial"/>
        </w:rPr>
        <w:t>.</w:t>
      </w:r>
    </w:p>
    <w:p w:rsidR="000D66F4" w:rsidRPr="005D004B" w:rsidRDefault="000D66F4" w:rsidP="000018E2">
      <w:pPr>
        <w:pStyle w:val="ListParagraph"/>
        <w:numPr>
          <w:ilvl w:val="0"/>
          <w:numId w:val="2"/>
        </w:numPr>
        <w:spacing w:after="0" w:line="240" w:lineRule="auto"/>
        <w:ind w:left="993"/>
        <w:rPr>
          <w:rFonts w:ascii="Arial" w:hAnsi="Arial" w:cs="Arial"/>
        </w:rPr>
      </w:pPr>
      <w:r w:rsidRPr="005D004B">
        <w:rPr>
          <w:rFonts w:ascii="Arial" w:hAnsi="Arial" w:cs="Arial"/>
        </w:rPr>
        <w:t>The Local Plan and how commitments to regeneration and planning -   particularly around the potential adverse and positive impacts of the Lower Thames Crossing and the regeneration of Grays Town Centre on the populations health and wellbeing.</w:t>
      </w:r>
    </w:p>
    <w:p w:rsidR="000D66F4" w:rsidRPr="00717752" w:rsidRDefault="000D66F4" w:rsidP="00BA5171">
      <w:pPr>
        <w:pStyle w:val="ListParagraph"/>
        <w:numPr>
          <w:ilvl w:val="0"/>
          <w:numId w:val="2"/>
        </w:numPr>
        <w:spacing w:after="0" w:line="240" w:lineRule="auto"/>
        <w:ind w:left="993"/>
        <w:rPr>
          <w:rFonts w:ascii="Arial" w:hAnsi="Arial" w:cs="Arial"/>
        </w:rPr>
      </w:pPr>
      <w:r w:rsidRPr="00717752">
        <w:rPr>
          <w:rFonts w:ascii="Arial" w:hAnsi="Arial" w:cs="Arial"/>
        </w:rPr>
        <w:t>Emerging priorities for specific services including implementing the SEND Written</w:t>
      </w:r>
      <w:r w:rsidR="00B14D30" w:rsidRPr="00B14D30">
        <w:rPr>
          <w:rFonts w:ascii="Arial" w:hAnsi="Arial" w:cs="Arial"/>
        </w:rPr>
        <w:t xml:space="preserve"> </w:t>
      </w:r>
      <w:r w:rsidR="00B14D30" w:rsidRPr="00717752">
        <w:rPr>
          <w:rFonts w:ascii="Arial" w:hAnsi="Arial" w:cs="Arial"/>
        </w:rPr>
        <w:t>Statement of Action</w:t>
      </w:r>
      <w:r w:rsidR="00B14D30">
        <w:rPr>
          <w:rFonts w:ascii="Arial" w:hAnsi="Arial" w:cs="Arial"/>
        </w:rPr>
        <w:t xml:space="preserve"> and the emerging Transition Strategy</w:t>
      </w:r>
      <w:r w:rsidRPr="00717752">
        <w:rPr>
          <w:rFonts w:ascii="Arial" w:hAnsi="Arial" w:cs="Arial"/>
        </w:rPr>
        <w:t>.</w:t>
      </w:r>
    </w:p>
    <w:p w:rsidR="000D66F4" w:rsidRPr="00717752" w:rsidRDefault="000D66F4" w:rsidP="007245DE">
      <w:pPr>
        <w:pStyle w:val="ListParagraph"/>
        <w:spacing w:after="0" w:line="240" w:lineRule="auto"/>
        <w:rPr>
          <w:rFonts w:ascii="Arial" w:hAnsi="Arial" w:cs="Arial"/>
        </w:rPr>
      </w:pPr>
    </w:p>
    <w:p w:rsidR="007245DE" w:rsidRPr="00D15FD4" w:rsidRDefault="000D66F4" w:rsidP="00BA5171">
      <w:pPr>
        <w:pStyle w:val="ListParagraph"/>
        <w:numPr>
          <w:ilvl w:val="1"/>
          <w:numId w:val="3"/>
        </w:numPr>
        <w:spacing w:after="0" w:line="240" w:lineRule="auto"/>
        <w:rPr>
          <w:rFonts w:ascii="Arial" w:hAnsi="Arial" w:cs="Arial"/>
        </w:rPr>
      </w:pPr>
      <w:r w:rsidRPr="006D6A1D">
        <w:rPr>
          <w:rFonts w:ascii="Arial" w:hAnsi="Arial" w:cs="Arial"/>
        </w:rPr>
        <w:t xml:space="preserve"> Since the Health and Wellbeing Strategy was launched in July 2016, there has been substantial</w:t>
      </w:r>
      <w:r w:rsidR="0048568B">
        <w:rPr>
          <w:rFonts w:ascii="Arial" w:hAnsi="Arial" w:cs="Arial"/>
        </w:rPr>
        <w:t xml:space="preserve"> additional research on areas </w:t>
      </w:r>
      <w:r w:rsidRPr="006D6A1D">
        <w:rPr>
          <w:rFonts w:ascii="Arial" w:hAnsi="Arial" w:cs="Arial"/>
        </w:rPr>
        <w:t>affecting the health and wellbeing of the population of Thurrock</w:t>
      </w:r>
      <w:r w:rsidR="0048568B">
        <w:rPr>
          <w:rFonts w:ascii="Arial" w:hAnsi="Arial" w:cs="Arial"/>
        </w:rPr>
        <w:t>,</w:t>
      </w:r>
      <w:r w:rsidRPr="006D6A1D">
        <w:rPr>
          <w:rFonts w:ascii="Arial" w:hAnsi="Arial" w:cs="Arial"/>
        </w:rPr>
        <w:t xml:space="preserve"> which cannot be easily reflected in the current Strategy framework.  This includes evidence provided by Public Health Joint Strategic Needs Assessments on bespoke subject matters including the sexual violence and abuse JSNA, the Young Person’s Substance Misuse needs assessment.  A refresh of the </w:t>
      </w:r>
      <w:r w:rsidRPr="006D6A1D">
        <w:rPr>
          <w:rFonts w:ascii="Arial" w:hAnsi="Arial" w:cs="Arial"/>
        </w:rPr>
        <w:lastRenderedPageBreak/>
        <w:t>Strategy will facilitate the continued public commitment of working with the Health and Wellbeing Board to make sure the JSNA informs the Health and Wellbeing Strategy</w:t>
      </w:r>
      <w:r w:rsidRPr="00717752">
        <w:rPr>
          <w:rStyle w:val="FootnoteReference"/>
          <w:rFonts w:ascii="Arial" w:hAnsi="Arial" w:cs="Arial"/>
        </w:rPr>
        <w:footnoteReference w:id="1"/>
      </w:r>
      <w:r w:rsidRPr="006D6A1D">
        <w:rPr>
          <w:rFonts w:ascii="Arial" w:hAnsi="Arial" w:cs="Arial"/>
          <w:color w:val="161616"/>
          <w:lang w:val="en"/>
        </w:rPr>
        <w:t>.</w:t>
      </w:r>
    </w:p>
    <w:p w:rsidR="00D15FD4" w:rsidRPr="00D15FD4" w:rsidRDefault="00D15FD4" w:rsidP="00D15FD4">
      <w:pPr>
        <w:pStyle w:val="ListParagraph"/>
        <w:spacing w:after="0" w:line="240" w:lineRule="auto"/>
        <w:ind w:left="360"/>
        <w:rPr>
          <w:rFonts w:ascii="Arial" w:hAnsi="Arial" w:cs="Arial"/>
        </w:rPr>
      </w:pPr>
    </w:p>
    <w:p w:rsidR="00D15FD4" w:rsidRPr="006D6A1D" w:rsidRDefault="00D15FD4" w:rsidP="00BA5171">
      <w:pPr>
        <w:pStyle w:val="ListParagraph"/>
        <w:numPr>
          <w:ilvl w:val="1"/>
          <w:numId w:val="3"/>
        </w:numPr>
        <w:spacing w:after="0" w:line="240" w:lineRule="auto"/>
        <w:rPr>
          <w:rFonts w:ascii="Arial" w:hAnsi="Arial" w:cs="Arial"/>
        </w:rPr>
      </w:pPr>
      <w:r>
        <w:rPr>
          <w:rFonts w:ascii="Arial" w:hAnsi="Arial" w:cs="Arial"/>
          <w:color w:val="161616"/>
          <w:lang w:val="en"/>
        </w:rPr>
        <w:t>The refreshed Strategy will reflect lesson’s learned from the COVID-19 Pandemic set out below.</w:t>
      </w:r>
    </w:p>
    <w:p w:rsidR="007245DE" w:rsidRDefault="007245DE" w:rsidP="007245DE">
      <w:pPr>
        <w:pStyle w:val="ListParagraph"/>
        <w:spacing w:after="0" w:line="240" w:lineRule="auto"/>
        <w:ind w:left="0"/>
        <w:rPr>
          <w:rFonts w:ascii="Arial" w:hAnsi="Arial" w:cs="Arial"/>
        </w:rPr>
      </w:pPr>
    </w:p>
    <w:p w:rsidR="00B50E14" w:rsidRPr="00B50E14" w:rsidRDefault="00B50E14" w:rsidP="007245DE">
      <w:pPr>
        <w:pStyle w:val="ListParagraph"/>
        <w:spacing w:after="0" w:line="240" w:lineRule="auto"/>
        <w:ind w:left="0"/>
        <w:rPr>
          <w:rFonts w:ascii="Arial" w:hAnsi="Arial" w:cs="Arial"/>
          <w:b/>
        </w:rPr>
      </w:pPr>
      <w:r w:rsidRPr="00B50E14">
        <w:rPr>
          <w:rFonts w:ascii="Arial" w:hAnsi="Arial" w:cs="Arial"/>
          <w:b/>
        </w:rPr>
        <w:t>4.  COVID-19 Pandemic</w:t>
      </w:r>
    </w:p>
    <w:p w:rsidR="00B50E14" w:rsidRDefault="00B50E14" w:rsidP="007245DE">
      <w:pPr>
        <w:pStyle w:val="ListParagraph"/>
        <w:spacing w:after="0" w:line="240" w:lineRule="auto"/>
        <w:ind w:left="0"/>
        <w:rPr>
          <w:rFonts w:ascii="Arial" w:hAnsi="Arial" w:cs="Arial"/>
          <w:u w:val="single"/>
        </w:rPr>
      </w:pPr>
    </w:p>
    <w:p w:rsidR="001E5303" w:rsidRPr="001E5303" w:rsidRDefault="00B50E14" w:rsidP="001E5303">
      <w:pPr>
        <w:pStyle w:val="ListParagraph"/>
        <w:spacing w:after="0" w:line="240" w:lineRule="auto"/>
        <w:ind w:left="567" w:hanging="567"/>
        <w:rPr>
          <w:rFonts w:ascii="Arial" w:hAnsi="Arial" w:cs="Arial"/>
        </w:rPr>
      </w:pPr>
      <w:r>
        <w:rPr>
          <w:rFonts w:ascii="Arial" w:hAnsi="Arial" w:cs="Arial"/>
        </w:rPr>
        <w:t xml:space="preserve">4.1.    </w:t>
      </w:r>
      <w:r w:rsidR="001E5303" w:rsidRPr="001E5303">
        <w:rPr>
          <w:rFonts w:ascii="Arial" w:hAnsi="Arial" w:cs="Arial"/>
        </w:rPr>
        <w:t xml:space="preserve">The Covid 19 pandemic is different from other disaster recovery scenarios for a number of reasons. The scale, effects and length of time of the emergency created by the pandemic are more far reaching than anything experienced globally since the World Wars of the last century. </w:t>
      </w:r>
    </w:p>
    <w:p w:rsidR="001E5303" w:rsidRDefault="001E5303" w:rsidP="007245DE">
      <w:pPr>
        <w:pStyle w:val="ListParagraph"/>
        <w:spacing w:after="0" w:line="240" w:lineRule="auto"/>
        <w:ind w:left="0"/>
        <w:rPr>
          <w:rFonts w:ascii="Arial" w:hAnsi="Arial" w:cs="Arial"/>
          <w:sz w:val="24"/>
          <w:szCs w:val="24"/>
        </w:rPr>
      </w:pPr>
    </w:p>
    <w:p w:rsidR="001E5303" w:rsidRPr="00654A61" w:rsidRDefault="001E5303" w:rsidP="00654A61">
      <w:pPr>
        <w:pStyle w:val="ListParagraph"/>
        <w:spacing w:after="0" w:line="240" w:lineRule="auto"/>
        <w:ind w:left="567" w:hanging="567"/>
        <w:rPr>
          <w:rFonts w:ascii="Arial" w:hAnsi="Arial" w:cs="Arial"/>
        </w:rPr>
      </w:pPr>
      <w:r>
        <w:rPr>
          <w:rFonts w:ascii="Arial" w:hAnsi="Arial" w:cs="Arial"/>
        </w:rPr>
        <w:t xml:space="preserve">4.2  </w:t>
      </w:r>
      <w:r>
        <w:rPr>
          <w:rFonts w:ascii="Arial" w:hAnsi="Arial" w:cs="Arial"/>
        </w:rPr>
        <w:tab/>
      </w:r>
      <w:r w:rsidR="0048568B">
        <w:rPr>
          <w:rFonts w:ascii="Arial" w:hAnsi="Arial" w:cs="Arial"/>
        </w:rPr>
        <w:t>T</w:t>
      </w:r>
      <w:r w:rsidR="00654A61" w:rsidRPr="00654A61">
        <w:rPr>
          <w:rFonts w:ascii="Arial" w:hAnsi="Arial" w:cs="Arial"/>
        </w:rPr>
        <w:t>ransformation of the Thurrock Health and Well-being system has been predicated upon a number of key principles, which have been instrumental in our ability to respond quickly and effectively as a system to the pandemic</w:t>
      </w:r>
      <w:r w:rsidR="00654A61">
        <w:rPr>
          <w:rFonts w:ascii="Arial" w:hAnsi="Arial" w:cs="Arial"/>
        </w:rPr>
        <w:t xml:space="preserve">, which will be reflected in the refreshed </w:t>
      </w:r>
      <w:r w:rsidR="0048568B">
        <w:rPr>
          <w:rFonts w:ascii="Arial" w:hAnsi="Arial" w:cs="Arial"/>
        </w:rPr>
        <w:t xml:space="preserve">Health and Wellbeing </w:t>
      </w:r>
      <w:r w:rsidR="00654A61">
        <w:rPr>
          <w:rFonts w:ascii="Arial" w:hAnsi="Arial" w:cs="Arial"/>
        </w:rPr>
        <w:t xml:space="preserve">Strategy: </w:t>
      </w:r>
    </w:p>
    <w:p w:rsidR="00654A61" w:rsidRPr="00654A61" w:rsidRDefault="00654A61" w:rsidP="0080448C">
      <w:pPr>
        <w:pStyle w:val="ListParagraph"/>
        <w:numPr>
          <w:ilvl w:val="0"/>
          <w:numId w:val="18"/>
        </w:numPr>
        <w:ind w:left="993"/>
        <w:rPr>
          <w:rFonts w:ascii="Arial" w:hAnsi="Arial" w:cs="Arial"/>
        </w:rPr>
      </w:pPr>
      <w:r w:rsidRPr="00654A61">
        <w:rPr>
          <w:rFonts w:ascii="Arial" w:hAnsi="Arial" w:cs="Arial"/>
          <w:b/>
        </w:rPr>
        <w:t>A coherent, shared vision</w:t>
      </w:r>
      <w:r w:rsidRPr="00654A61">
        <w:rPr>
          <w:rFonts w:ascii="Arial" w:hAnsi="Arial" w:cs="Arial"/>
        </w:rPr>
        <w:t>. This has enabled the whole system to respond as one with no disagreement between partners and a common understanding of what was necessary to achieve results.</w:t>
      </w:r>
      <w:r w:rsidR="000D6700">
        <w:rPr>
          <w:rFonts w:ascii="Arial" w:hAnsi="Arial" w:cs="Arial"/>
        </w:rPr>
        <w:t xml:space="preserve">  The refreshed Health and Wellbeing Strategy will reinforce the shared vision for the people of Thurrock that is informed by the people of Thurrock.</w:t>
      </w:r>
    </w:p>
    <w:p w:rsidR="000D6700" w:rsidRPr="00654A61" w:rsidRDefault="000D6700" w:rsidP="0080448C">
      <w:pPr>
        <w:pStyle w:val="ListParagraph"/>
        <w:numPr>
          <w:ilvl w:val="0"/>
          <w:numId w:val="18"/>
        </w:numPr>
        <w:ind w:left="993"/>
        <w:rPr>
          <w:rFonts w:ascii="Arial" w:hAnsi="Arial" w:cs="Arial"/>
        </w:rPr>
      </w:pPr>
      <w:r w:rsidRPr="00654A61">
        <w:rPr>
          <w:rFonts w:ascii="Arial" w:hAnsi="Arial" w:cs="Arial"/>
          <w:b/>
        </w:rPr>
        <w:t>Outcomes not outputs.</w:t>
      </w:r>
      <w:r w:rsidRPr="00654A61">
        <w:rPr>
          <w:rFonts w:ascii="Arial" w:hAnsi="Arial" w:cs="Arial"/>
        </w:rPr>
        <w:t xml:space="preserve"> </w:t>
      </w:r>
      <w:r>
        <w:rPr>
          <w:rFonts w:ascii="Arial" w:hAnsi="Arial" w:cs="Arial"/>
        </w:rPr>
        <w:t>The</w:t>
      </w:r>
      <w:r w:rsidRPr="00654A61">
        <w:rPr>
          <w:rFonts w:ascii="Arial" w:hAnsi="Arial" w:cs="Arial"/>
        </w:rPr>
        <w:t xml:space="preserve"> future performance management systems to focus on collecting data that provides evidence of success in terms that service recipients would identify with. Of course systems and organisations need to measure success. However, these should focus upon outcomes and not on inputs or outputs, such a focus too often drives perverse behaviour that does little or nothing to improve real performance.  Performance is also too often inward looking and service focused, rather than recognising that a number of factors contribute towards the achievement of an individual’s health and wellbeing, and all of these factors need to push in the same direction. This will be even more important as we move in to a recovery phase, there will be significant challenges to resolve with extreme pressure upon resources; this will require certainty that activity is focused upon achieving the right outcomes with the greatest efficiency.</w:t>
      </w:r>
      <w:r>
        <w:rPr>
          <w:rFonts w:ascii="Arial" w:hAnsi="Arial" w:cs="Arial"/>
        </w:rPr>
        <w:t xml:space="preserve">  The refreshed Health and Wellbeing Strategy Outcome Framework will reflect the shift to outcome based measures.  </w:t>
      </w:r>
    </w:p>
    <w:p w:rsidR="000D6700" w:rsidRPr="00654A61" w:rsidRDefault="000D6700" w:rsidP="0080448C">
      <w:pPr>
        <w:pStyle w:val="ListParagraph"/>
        <w:numPr>
          <w:ilvl w:val="0"/>
          <w:numId w:val="18"/>
        </w:numPr>
        <w:ind w:left="993"/>
        <w:rPr>
          <w:rFonts w:ascii="Arial" w:hAnsi="Arial" w:cs="Arial"/>
        </w:rPr>
      </w:pPr>
      <w:r w:rsidRPr="00654A61">
        <w:rPr>
          <w:rFonts w:ascii="Arial" w:hAnsi="Arial" w:cs="Arial"/>
          <w:b/>
        </w:rPr>
        <w:t>The importance of technology.</w:t>
      </w:r>
      <w:r w:rsidRPr="00654A61">
        <w:rPr>
          <w:rFonts w:ascii="Arial" w:hAnsi="Arial" w:cs="Arial"/>
        </w:rPr>
        <w:t xml:space="preserve"> Technology enabled care and support is a work stream already central to transformation in Thurrock. The speed with which technology has been utilised in dealing with the response to Covid suggests that much more could, and should, have been achieved in the health and well-being field to date. There are numerous reasons, human and technical, which have slowed the use of technology in this field. However, as is often the case, the scale of the crisis has forced the issue. This is an area that we need to understand better to ensure that the potential that technology affords us to improve recovery is fully utilised.</w:t>
      </w:r>
      <w:r>
        <w:rPr>
          <w:rFonts w:ascii="Arial" w:hAnsi="Arial" w:cs="Arial"/>
        </w:rPr>
        <w:t xml:space="preserve">  It will also be important to ensure that the refreshed Health and Wellbeing Strategy considers how future operating models and therefore potential outcomes may be impacted on by technological developments.  It will also be important to ensure any challenges that may be created by technological advances are identified and addressed.</w:t>
      </w:r>
    </w:p>
    <w:p w:rsidR="00654A61" w:rsidRPr="00654A61" w:rsidRDefault="00654A61" w:rsidP="0080448C">
      <w:pPr>
        <w:pStyle w:val="ListParagraph"/>
        <w:numPr>
          <w:ilvl w:val="0"/>
          <w:numId w:val="18"/>
        </w:numPr>
        <w:ind w:left="993"/>
        <w:rPr>
          <w:rFonts w:ascii="Arial" w:hAnsi="Arial" w:cs="Arial"/>
        </w:rPr>
      </w:pPr>
      <w:r w:rsidRPr="00654A61">
        <w:rPr>
          <w:rFonts w:ascii="Arial" w:hAnsi="Arial" w:cs="Arial"/>
          <w:b/>
        </w:rPr>
        <w:lastRenderedPageBreak/>
        <w:t xml:space="preserve">Collaboration through strong, trust based partnership arrangements. </w:t>
      </w:r>
      <w:r w:rsidRPr="00654A61">
        <w:rPr>
          <w:rFonts w:ascii="Arial" w:hAnsi="Arial" w:cs="Arial"/>
        </w:rPr>
        <w:t>Utilising and building on existing relationships has been a major feature of the local response. Creating an agile and collective reaction</w:t>
      </w:r>
      <w:r w:rsidR="000D6700">
        <w:rPr>
          <w:rFonts w:ascii="Arial" w:hAnsi="Arial" w:cs="Arial"/>
        </w:rPr>
        <w:t xml:space="preserve"> to the issues as they emerged.  The refreshed Health and Wellbeing Strategy will reflect partnership and governance arrangements that have been agreed across the wider health and care system and within and across Thurrock.</w:t>
      </w:r>
    </w:p>
    <w:p w:rsidR="00654A61" w:rsidRPr="00654A61" w:rsidRDefault="00654A61" w:rsidP="0080448C">
      <w:pPr>
        <w:pStyle w:val="ListParagraph"/>
        <w:numPr>
          <w:ilvl w:val="0"/>
          <w:numId w:val="18"/>
        </w:numPr>
        <w:spacing w:after="0" w:line="240" w:lineRule="auto"/>
        <w:ind w:left="993"/>
        <w:rPr>
          <w:rFonts w:ascii="Arial" w:hAnsi="Arial" w:cs="Arial"/>
        </w:rPr>
      </w:pPr>
      <w:r w:rsidRPr="00654A61">
        <w:rPr>
          <w:rFonts w:ascii="Arial" w:hAnsi="Arial" w:cs="Arial"/>
          <w:b/>
        </w:rPr>
        <w:t>Flexible and Adaptable Workforce.</w:t>
      </w:r>
      <w:r w:rsidRPr="00654A61">
        <w:rPr>
          <w:rFonts w:ascii="Arial" w:hAnsi="Arial" w:cs="Arial"/>
        </w:rPr>
        <w:t xml:space="preserve"> The response to the pandemic has shown the ability of and importance of staff across the system to be flexible and adaptable.  This will challenge us to remove the divide between health and care and between provider and commissioner.  Health and care staff will work in partnership with the third sector and the community and focus on the totality of assets available to them and to the person</w:t>
      </w:r>
    </w:p>
    <w:p w:rsidR="00654A61" w:rsidRPr="00654A61" w:rsidRDefault="00654A61" w:rsidP="0080448C">
      <w:pPr>
        <w:pStyle w:val="ListParagraph"/>
        <w:numPr>
          <w:ilvl w:val="0"/>
          <w:numId w:val="18"/>
        </w:numPr>
        <w:ind w:left="993"/>
        <w:rPr>
          <w:rFonts w:ascii="Arial" w:hAnsi="Arial" w:cs="Arial"/>
        </w:rPr>
      </w:pPr>
      <w:r w:rsidRPr="00654A61">
        <w:rPr>
          <w:rFonts w:ascii="Arial" w:hAnsi="Arial" w:cs="Arial"/>
          <w:b/>
        </w:rPr>
        <w:t>Asset based/strength based approaches.</w:t>
      </w:r>
      <w:r w:rsidRPr="00654A61">
        <w:rPr>
          <w:rFonts w:ascii="Arial" w:hAnsi="Arial" w:cs="Arial"/>
        </w:rPr>
        <w:t xml:space="preserve"> At both an individual and at a system level asset based working is another feature of the transformation model in Thurrock. The concept of doing with rather than to sits at the heart of every aspect of our change journey. This has enabled a truly collaborative response to be introduced whereby we have supported communities to take action rather than imposed a service type solution on them. The success of the Thurrock Coronavirus Community Action (TCCA) response, which mobilised volunteers to support the vulnerable and shielded in our communities quickly and effectively, is a strong example of the asset based approach in action.</w:t>
      </w:r>
      <w:r w:rsidR="000D6700">
        <w:rPr>
          <w:rFonts w:ascii="Arial" w:hAnsi="Arial" w:cs="Arial"/>
        </w:rPr>
        <w:t xml:space="preserve">  The refreshed Health and Wellbeing Strategy will build on the success of collaborative working with communities and the VCS.</w:t>
      </w:r>
    </w:p>
    <w:p w:rsidR="00654A61" w:rsidRPr="00654A61" w:rsidRDefault="00654A61" w:rsidP="0080448C">
      <w:pPr>
        <w:pStyle w:val="ListParagraph"/>
        <w:numPr>
          <w:ilvl w:val="0"/>
          <w:numId w:val="18"/>
        </w:numPr>
        <w:ind w:left="993"/>
        <w:rPr>
          <w:rFonts w:ascii="Arial" w:hAnsi="Arial" w:cs="Arial"/>
          <w:b/>
        </w:rPr>
      </w:pPr>
      <w:r w:rsidRPr="00654A61">
        <w:rPr>
          <w:rFonts w:ascii="Arial" w:hAnsi="Arial" w:cs="Arial"/>
          <w:b/>
        </w:rPr>
        <w:t xml:space="preserve">Community embedded practice. </w:t>
      </w:r>
      <w:r w:rsidRPr="00654A61">
        <w:rPr>
          <w:rFonts w:ascii="Arial" w:hAnsi="Arial" w:cs="Arial"/>
        </w:rPr>
        <w:t>Possible th</w:t>
      </w:r>
      <w:r w:rsidR="00BB682F">
        <w:rPr>
          <w:rFonts w:ascii="Arial" w:hAnsi="Arial" w:cs="Arial"/>
        </w:rPr>
        <w:t>e strongest single feature of th</w:t>
      </w:r>
      <w:r w:rsidRPr="00654A61">
        <w:rPr>
          <w:rFonts w:ascii="Arial" w:hAnsi="Arial" w:cs="Arial"/>
        </w:rPr>
        <w:t>e Thurrock transformation of health and well-being is the commitment to work within and alongside our communities. The fact that we had already established such a strong community presence, via our Local Area Coordinators, Community Led Support social work teams and our Social Prescribers, amongst others, enabled us to meet the challenge set by the uncertain period that existed between the lockdown and having the structures in place to deal with the consequences. This provides a strong evidence base for the effectiveness of knowing the communities you work alongside, and is another feature that must be further developed to secure successful recovery.</w:t>
      </w:r>
    </w:p>
    <w:p w:rsidR="0048568B" w:rsidRDefault="0048568B" w:rsidP="007245DE">
      <w:pPr>
        <w:pStyle w:val="ListParagraph"/>
        <w:spacing w:after="0" w:line="240" w:lineRule="auto"/>
        <w:ind w:left="0"/>
        <w:rPr>
          <w:rFonts w:ascii="Arial" w:hAnsi="Arial" w:cs="Arial"/>
        </w:rPr>
      </w:pPr>
    </w:p>
    <w:p w:rsidR="00BB682F" w:rsidRDefault="00BB682F" w:rsidP="007245DE">
      <w:pPr>
        <w:pStyle w:val="ListParagraph"/>
        <w:spacing w:after="0" w:line="240" w:lineRule="auto"/>
        <w:ind w:left="0"/>
        <w:rPr>
          <w:rFonts w:ascii="Arial" w:hAnsi="Arial" w:cs="Arial"/>
          <w:b/>
        </w:rPr>
      </w:pPr>
      <w:r>
        <w:rPr>
          <w:rFonts w:ascii="Arial" w:hAnsi="Arial" w:cs="Arial"/>
          <w:b/>
        </w:rPr>
        <w:t>5.  How the refreshed Strategy will reflect changes to the</w:t>
      </w:r>
      <w:r w:rsidR="005729A1">
        <w:rPr>
          <w:rFonts w:ascii="Arial" w:hAnsi="Arial" w:cs="Arial"/>
          <w:b/>
        </w:rPr>
        <w:t xml:space="preserve"> NHS</w:t>
      </w:r>
      <w:r>
        <w:rPr>
          <w:rFonts w:ascii="Arial" w:hAnsi="Arial" w:cs="Arial"/>
          <w:b/>
        </w:rPr>
        <w:t xml:space="preserve"> operating landscape</w:t>
      </w:r>
    </w:p>
    <w:p w:rsidR="00BB682F" w:rsidRDefault="00BB682F" w:rsidP="007245DE">
      <w:pPr>
        <w:pStyle w:val="ListParagraph"/>
        <w:spacing w:after="0" w:line="240" w:lineRule="auto"/>
        <w:ind w:left="0"/>
        <w:rPr>
          <w:rFonts w:ascii="Arial" w:hAnsi="Arial" w:cs="Arial"/>
          <w:b/>
        </w:rPr>
      </w:pPr>
    </w:p>
    <w:p w:rsidR="00803285" w:rsidRDefault="00BB682F" w:rsidP="007C2216">
      <w:pPr>
        <w:pStyle w:val="ListParagraph"/>
        <w:numPr>
          <w:ilvl w:val="1"/>
          <w:numId w:val="17"/>
        </w:numPr>
        <w:spacing w:after="0" w:line="240" w:lineRule="auto"/>
        <w:ind w:left="284"/>
        <w:rPr>
          <w:rFonts w:ascii="Arial" w:hAnsi="Arial" w:cs="Arial"/>
        </w:rPr>
      </w:pPr>
      <w:r w:rsidRPr="005729A1">
        <w:rPr>
          <w:rFonts w:ascii="Arial" w:hAnsi="Arial" w:cs="Arial"/>
        </w:rPr>
        <w:t xml:space="preserve"> The refreshed Health and Wellbeing Strategy refresh will identify health and wellbeing priorities for the population of Thurrock over a five years period, many of which will be joint partnership priorities across sy</w:t>
      </w:r>
      <w:r w:rsidR="000E1FA6" w:rsidRPr="005729A1">
        <w:rPr>
          <w:rFonts w:ascii="Arial" w:hAnsi="Arial" w:cs="Arial"/>
        </w:rPr>
        <w:t xml:space="preserve">stem, place and locality levels.  </w:t>
      </w:r>
    </w:p>
    <w:p w:rsidR="005729A1" w:rsidRDefault="005729A1" w:rsidP="005729A1">
      <w:pPr>
        <w:pStyle w:val="ListParagraph"/>
        <w:spacing w:after="0" w:line="240" w:lineRule="auto"/>
        <w:ind w:left="284"/>
        <w:rPr>
          <w:rFonts w:ascii="Arial" w:hAnsi="Arial" w:cs="Arial"/>
        </w:rPr>
      </w:pPr>
    </w:p>
    <w:p w:rsidR="005729A1" w:rsidRDefault="005729A1" w:rsidP="005729A1">
      <w:pPr>
        <w:pStyle w:val="ListParagraph"/>
        <w:numPr>
          <w:ilvl w:val="1"/>
          <w:numId w:val="17"/>
        </w:numPr>
        <w:spacing w:after="0" w:line="240" w:lineRule="auto"/>
        <w:ind w:left="284"/>
        <w:rPr>
          <w:rFonts w:ascii="Arial" w:hAnsi="Arial" w:cs="Arial"/>
        </w:rPr>
      </w:pPr>
      <w:r>
        <w:rPr>
          <w:rFonts w:ascii="Arial" w:hAnsi="Arial" w:cs="Arial"/>
        </w:rPr>
        <w:t xml:space="preserve">The refreshed Health and Wellbeing Strategy will reinforce the Mid and South Essex Partnership MOU that is being considered by members at today’s meeting.   </w:t>
      </w:r>
    </w:p>
    <w:p w:rsidR="005729A1" w:rsidRPr="005729A1" w:rsidRDefault="005729A1" w:rsidP="005729A1">
      <w:pPr>
        <w:pStyle w:val="ListParagraph"/>
        <w:spacing w:after="0" w:line="240" w:lineRule="auto"/>
        <w:ind w:left="284"/>
        <w:rPr>
          <w:rFonts w:ascii="Arial" w:hAnsi="Arial" w:cs="Arial"/>
        </w:rPr>
      </w:pPr>
    </w:p>
    <w:p w:rsidR="00E6579C" w:rsidRDefault="00E6579C" w:rsidP="00330BC4">
      <w:pPr>
        <w:pStyle w:val="ListParagraph"/>
        <w:numPr>
          <w:ilvl w:val="1"/>
          <w:numId w:val="17"/>
        </w:numPr>
        <w:spacing w:after="0" w:line="240" w:lineRule="auto"/>
        <w:ind w:left="284"/>
        <w:rPr>
          <w:rFonts w:ascii="Arial" w:hAnsi="Arial" w:cs="Arial"/>
        </w:rPr>
      </w:pPr>
      <w:r>
        <w:rPr>
          <w:rFonts w:ascii="Arial" w:hAnsi="Arial" w:cs="Arial"/>
        </w:rPr>
        <w:t>At Mid and South Essex level:</w:t>
      </w:r>
    </w:p>
    <w:p w:rsidR="00330BC4" w:rsidRPr="00E6579C" w:rsidRDefault="00E6579C" w:rsidP="00E6579C">
      <w:pPr>
        <w:pStyle w:val="ListParagraph"/>
        <w:numPr>
          <w:ilvl w:val="0"/>
          <w:numId w:val="18"/>
        </w:numPr>
        <w:ind w:left="993"/>
        <w:rPr>
          <w:rFonts w:ascii="Arial" w:hAnsi="Arial" w:cs="Arial"/>
        </w:rPr>
      </w:pPr>
      <w:r>
        <w:rPr>
          <w:rFonts w:ascii="Arial" w:hAnsi="Arial" w:cs="Arial"/>
        </w:rPr>
        <w:t>D</w:t>
      </w:r>
      <w:r w:rsidR="00330BC4" w:rsidRPr="00E6579C">
        <w:rPr>
          <w:rFonts w:ascii="Arial" w:hAnsi="Arial" w:cs="Arial"/>
        </w:rPr>
        <w:t xml:space="preserve">igital technology </w:t>
      </w:r>
      <w:r>
        <w:rPr>
          <w:rFonts w:ascii="Arial" w:hAnsi="Arial" w:cs="Arial"/>
        </w:rPr>
        <w:t xml:space="preserve">will be used </w:t>
      </w:r>
      <w:r w:rsidR="00330BC4" w:rsidRPr="00E6579C">
        <w:rPr>
          <w:rFonts w:ascii="Arial" w:hAnsi="Arial" w:cs="Arial"/>
        </w:rPr>
        <w:t xml:space="preserve">to drive change and ensure systems are inter-operable, including the development of the integrated shared care record would support the identification and treatment of long term conditions across Thurrock. </w:t>
      </w:r>
    </w:p>
    <w:p w:rsidR="00E6579C" w:rsidRPr="00E6579C" w:rsidRDefault="00E6579C" w:rsidP="00E6579C">
      <w:pPr>
        <w:pStyle w:val="ListParagraph"/>
        <w:numPr>
          <w:ilvl w:val="0"/>
          <w:numId w:val="18"/>
        </w:numPr>
        <w:ind w:left="993"/>
        <w:rPr>
          <w:rFonts w:ascii="Arial" w:hAnsi="Arial" w:cs="Arial"/>
        </w:rPr>
      </w:pPr>
      <w:r>
        <w:rPr>
          <w:rFonts w:ascii="Arial" w:hAnsi="Arial" w:cs="Arial"/>
        </w:rPr>
        <w:t>The CCG</w:t>
      </w:r>
      <w:r w:rsidRPr="00E6579C">
        <w:rPr>
          <w:rFonts w:ascii="Arial" w:hAnsi="Arial" w:cs="Arial"/>
        </w:rPr>
        <w:t xml:space="preserve"> Joint Committee has delegated authority to take decisions collectively on matters relating to</w:t>
      </w:r>
      <w:r>
        <w:rPr>
          <w:rFonts w:ascii="Arial" w:hAnsi="Arial" w:cs="Arial"/>
        </w:rPr>
        <w:t xml:space="preserve"> areas that are likely impact on the achievement of outcomes within the refreshed Health and Wellbeing Strategy including</w:t>
      </w:r>
      <w:r w:rsidRPr="00E6579C">
        <w:rPr>
          <w:rFonts w:ascii="Arial" w:hAnsi="Arial" w:cs="Arial"/>
        </w:rPr>
        <w:t>:</w:t>
      </w:r>
    </w:p>
    <w:p w:rsidR="00E6579C" w:rsidRPr="00E6579C" w:rsidRDefault="00E6579C" w:rsidP="00E6579C">
      <w:pPr>
        <w:pStyle w:val="ListParagraph"/>
        <w:numPr>
          <w:ilvl w:val="1"/>
          <w:numId w:val="18"/>
        </w:numPr>
        <w:spacing w:before="245" w:after="0" w:line="276" w:lineRule="exact"/>
        <w:ind w:right="-9"/>
        <w:jc w:val="both"/>
        <w:textAlignment w:val="baseline"/>
        <w:rPr>
          <w:rFonts w:ascii="Arial" w:eastAsia="Arial" w:hAnsi="Arial" w:cs="Arial"/>
          <w:color w:val="000000"/>
        </w:rPr>
      </w:pPr>
      <w:r w:rsidRPr="00E6579C">
        <w:rPr>
          <w:rFonts w:ascii="Arial" w:eastAsia="Arial" w:hAnsi="Arial" w:cs="Arial"/>
          <w:color w:val="000000"/>
        </w:rPr>
        <w:t>Acute hospital services</w:t>
      </w:r>
    </w:p>
    <w:p w:rsidR="00E6579C" w:rsidRPr="00E6579C" w:rsidRDefault="00E6579C" w:rsidP="00E6579C">
      <w:pPr>
        <w:pStyle w:val="ListParagraph"/>
        <w:numPr>
          <w:ilvl w:val="1"/>
          <w:numId w:val="18"/>
        </w:numPr>
        <w:spacing w:before="245" w:after="679" w:line="276" w:lineRule="exact"/>
        <w:ind w:right="-9"/>
        <w:jc w:val="both"/>
        <w:textAlignment w:val="baseline"/>
        <w:rPr>
          <w:rFonts w:ascii="Arial" w:eastAsia="Arial" w:hAnsi="Arial" w:cs="Arial"/>
          <w:color w:val="000000"/>
        </w:rPr>
      </w:pPr>
      <w:r w:rsidRPr="00E6579C">
        <w:rPr>
          <w:rFonts w:ascii="Arial" w:eastAsia="Arial" w:hAnsi="Arial" w:cs="Arial"/>
          <w:color w:val="000000"/>
        </w:rPr>
        <w:t>NHS 111 services</w:t>
      </w:r>
    </w:p>
    <w:p w:rsidR="00E6579C" w:rsidRPr="00E6579C" w:rsidRDefault="00E6579C" w:rsidP="00E6579C">
      <w:pPr>
        <w:pStyle w:val="ListParagraph"/>
        <w:numPr>
          <w:ilvl w:val="1"/>
          <w:numId w:val="18"/>
        </w:numPr>
        <w:spacing w:before="245" w:after="679" w:line="276" w:lineRule="exact"/>
        <w:ind w:right="-9"/>
        <w:jc w:val="both"/>
        <w:textAlignment w:val="baseline"/>
        <w:rPr>
          <w:rFonts w:ascii="Arial" w:eastAsia="Arial" w:hAnsi="Arial" w:cs="Arial"/>
          <w:color w:val="000000"/>
        </w:rPr>
      </w:pPr>
      <w:r w:rsidRPr="00E6579C">
        <w:rPr>
          <w:rFonts w:ascii="Arial" w:eastAsia="Arial" w:hAnsi="Arial" w:cs="Arial"/>
          <w:color w:val="000000"/>
        </w:rPr>
        <w:lastRenderedPageBreak/>
        <w:t>Ambulance services</w:t>
      </w:r>
    </w:p>
    <w:p w:rsidR="00E6579C" w:rsidRPr="00E6579C" w:rsidRDefault="00E6579C" w:rsidP="00E6579C">
      <w:pPr>
        <w:pStyle w:val="ListParagraph"/>
        <w:numPr>
          <w:ilvl w:val="1"/>
          <w:numId w:val="18"/>
        </w:numPr>
        <w:spacing w:before="245" w:after="679" w:line="276" w:lineRule="exact"/>
        <w:ind w:right="-9"/>
        <w:jc w:val="both"/>
        <w:textAlignment w:val="baseline"/>
        <w:rPr>
          <w:rFonts w:ascii="Arial" w:eastAsia="Arial" w:hAnsi="Arial" w:cs="Arial"/>
          <w:color w:val="000000"/>
        </w:rPr>
      </w:pPr>
      <w:r w:rsidRPr="00E6579C">
        <w:rPr>
          <w:rFonts w:ascii="Arial" w:eastAsia="Arial" w:hAnsi="Arial" w:cs="Arial"/>
          <w:color w:val="000000"/>
        </w:rPr>
        <w:t>Patient transport services</w:t>
      </w:r>
    </w:p>
    <w:p w:rsidR="00E6579C" w:rsidRPr="00E6579C" w:rsidRDefault="00E6579C" w:rsidP="00E6579C">
      <w:pPr>
        <w:pStyle w:val="ListParagraph"/>
        <w:numPr>
          <w:ilvl w:val="1"/>
          <w:numId w:val="18"/>
        </w:numPr>
        <w:spacing w:after="0" w:line="276" w:lineRule="exact"/>
        <w:ind w:right="-9"/>
        <w:jc w:val="both"/>
        <w:textAlignment w:val="baseline"/>
        <w:rPr>
          <w:rFonts w:ascii="Arial" w:eastAsia="Arial" w:hAnsi="Arial" w:cs="Arial"/>
          <w:color w:val="000000"/>
        </w:rPr>
      </w:pPr>
      <w:r w:rsidRPr="00E6579C">
        <w:rPr>
          <w:rFonts w:ascii="Arial" w:eastAsia="Arial" w:hAnsi="Arial" w:cs="Arial"/>
          <w:color w:val="000000"/>
        </w:rPr>
        <w:t>Acute mental health services</w:t>
      </w:r>
    </w:p>
    <w:p w:rsidR="0010544D" w:rsidRDefault="0010544D" w:rsidP="00834302">
      <w:pPr>
        <w:pStyle w:val="ListParagraph"/>
        <w:numPr>
          <w:ilvl w:val="1"/>
          <w:numId w:val="17"/>
        </w:numPr>
        <w:spacing w:after="0" w:line="240" w:lineRule="auto"/>
        <w:ind w:left="284"/>
        <w:rPr>
          <w:rFonts w:ascii="Arial" w:hAnsi="Arial" w:cs="Arial"/>
        </w:rPr>
      </w:pPr>
      <w:r>
        <w:rPr>
          <w:rFonts w:ascii="Arial" w:hAnsi="Arial" w:cs="Arial"/>
        </w:rPr>
        <w:t>At place level:</w:t>
      </w:r>
    </w:p>
    <w:p w:rsidR="000E1FA6" w:rsidRPr="000E1FA6" w:rsidRDefault="00834302" w:rsidP="000E1FA6">
      <w:pPr>
        <w:pStyle w:val="ListParagraph"/>
        <w:numPr>
          <w:ilvl w:val="0"/>
          <w:numId w:val="18"/>
        </w:numPr>
        <w:ind w:left="993"/>
        <w:rPr>
          <w:rFonts w:ascii="Arial" w:hAnsi="Arial" w:cs="Arial"/>
        </w:rPr>
      </w:pPr>
      <w:r w:rsidRPr="000E1FA6">
        <w:rPr>
          <w:rFonts w:ascii="Arial" w:hAnsi="Arial" w:cs="Arial"/>
        </w:rPr>
        <w:t xml:space="preserve">Thurrock is one of the four Places across the </w:t>
      </w:r>
      <w:r w:rsidR="0010544D" w:rsidRPr="000E1FA6">
        <w:rPr>
          <w:rFonts w:ascii="Arial" w:hAnsi="Arial" w:cs="Arial"/>
        </w:rPr>
        <w:t>(Mid and South Essex Health and Care Partnership) t</w:t>
      </w:r>
      <w:r w:rsidRPr="000E1FA6">
        <w:rPr>
          <w:rFonts w:ascii="Arial" w:hAnsi="Arial" w:cs="Arial"/>
        </w:rPr>
        <w:t>hat have establishe</w:t>
      </w:r>
      <w:r w:rsidR="0010544D" w:rsidRPr="000E1FA6">
        <w:rPr>
          <w:rFonts w:ascii="Arial" w:hAnsi="Arial" w:cs="Arial"/>
        </w:rPr>
        <w:t>d Integrated Care P</w:t>
      </w:r>
      <w:r w:rsidRPr="000E1FA6">
        <w:rPr>
          <w:rFonts w:ascii="Arial" w:hAnsi="Arial" w:cs="Arial"/>
        </w:rPr>
        <w:t xml:space="preserve">artnerships.   </w:t>
      </w:r>
      <w:r w:rsidR="0010544D" w:rsidRPr="000E1FA6">
        <w:rPr>
          <w:rFonts w:ascii="Arial" w:hAnsi="Arial" w:cs="Arial"/>
        </w:rPr>
        <w:t xml:space="preserve"> </w:t>
      </w:r>
      <w:r w:rsidR="000E1FA6" w:rsidRPr="000E1FA6">
        <w:rPr>
          <w:rFonts w:ascii="Arial" w:hAnsi="Arial" w:cs="Arial"/>
        </w:rPr>
        <w:t>Political leadership for each ICP will be provided through the relevant Health and Wellbeing Board.</w:t>
      </w:r>
      <w:r w:rsidR="00603DE7">
        <w:rPr>
          <w:rFonts w:ascii="Arial" w:hAnsi="Arial" w:cs="Arial"/>
        </w:rPr>
        <w:t xml:space="preserve">  For Thurrock</w:t>
      </w:r>
      <w:r w:rsidR="00FD1DE7">
        <w:rPr>
          <w:rFonts w:ascii="Arial" w:hAnsi="Arial" w:cs="Arial"/>
        </w:rPr>
        <w:t>,</w:t>
      </w:r>
      <w:r w:rsidR="00603DE7">
        <w:rPr>
          <w:rFonts w:ascii="Arial" w:hAnsi="Arial" w:cs="Arial"/>
        </w:rPr>
        <w:t xml:space="preserve"> this will be through the Thurrock Integrated Care Partnership arrangements, being considered separately by members at today’s meeting.</w:t>
      </w:r>
      <w:r w:rsidR="000E1FA6" w:rsidRPr="000E1FA6">
        <w:rPr>
          <w:rFonts w:ascii="Arial" w:hAnsi="Arial" w:cs="Arial"/>
        </w:rPr>
        <w:t xml:space="preserve">  Each ICP will be accountable to the Health and Wellbeing Board for delivery of its locally agreed plan.  Each ICP will also have a line of accountability to the System (Partnership Board) for delivery of agreed system transformation, finance, quality and performance priorities. </w:t>
      </w:r>
    </w:p>
    <w:p w:rsidR="0010544D" w:rsidRPr="0010544D" w:rsidRDefault="000E1FA6" w:rsidP="0010544D">
      <w:pPr>
        <w:pStyle w:val="ListParagraph"/>
        <w:numPr>
          <w:ilvl w:val="0"/>
          <w:numId w:val="18"/>
        </w:numPr>
        <w:ind w:left="993"/>
        <w:rPr>
          <w:rFonts w:ascii="Arial" w:hAnsi="Arial" w:cs="Arial"/>
        </w:rPr>
      </w:pPr>
      <w:r>
        <w:rPr>
          <w:rFonts w:ascii="Arial" w:hAnsi="Arial" w:cs="Arial"/>
        </w:rPr>
        <w:t xml:space="preserve">The ICP locally agreed plan will reflect appropriate priorities identified through the Health and Wellbeing Strategy refresh.   </w:t>
      </w:r>
    </w:p>
    <w:p w:rsidR="000E1FA6" w:rsidRDefault="000E1FA6" w:rsidP="000E1FA6">
      <w:pPr>
        <w:pStyle w:val="ListParagraph"/>
        <w:spacing w:after="0" w:line="240" w:lineRule="auto"/>
        <w:ind w:left="284"/>
        <w:rPr>
          <w:rFonts w:ascii="Arial" w:hAnsi="Arial" w:cs="Arial"/>
        </w:rPr>
      </w:pPr>
    </w:p>
    <w:p w:rsidR="00274CBA" w:rsidRDefault="00274CBA" w:rsidP="0010544D">
      <w:pPr>
        <w:pStyle w:val="ListParagraph"/>
        <w:numPr>
          <w:ilvl w:val="1"/>
          <w:numId w:val="17"/>
        </w:numPr>
        <w:spacing w:after="0" w:line="240" w:lineRule="auto"/>
        <w:ind w:left="284"/>
        <w:rPr>
          <w:rFonts w:ascii="Arial" w:hAnsi="Arial" w:cs="Arial"/>
        </w:rPr>
      </w:pPr>
      <w:r w:rsidRPr="0010544D">
        <w:rPr>
          <w:rFonts w:ascii="Arial" w:hAnsi="Arial" w:cs="Arial"/>
        </w:rPr>
        <w:t>At Locality / PCN level</w:t>
      </w:r>
      <w:r>
        <w:rPr>
          <w:rFonts w:ascii="Arial" w:hAnsi="Arial" w:cs="Arial"/>
        </w:rPr>
        <w:t xml:space="preserve"> </w:t>
      </w:r>
    </w:p>
    <w:p w:rsidR="00274CBA" w:rsidRDefault="00274CBA" w:rsidP="00274CBA">
      <w:pPr>
        <w:pStyle w:val="ListParagraph"/>
        <w:numPr>
          <w:ilvl w:val="0"/>
          <w:numId w:val="18"/>
        </w:numPr>
        <w:ind w:left="993"/>
        <w:rPr>
          <w:rFonts w:ascii="Arial" w:hAnsi="Arial" w:cs="Arial"/>
        </w:rPr>
      </w:pPr>
      <w:r>
        <w:rPr>
          <w:rFonts w:ascii="Arial" w:hAnsi="Arial" w:cs="Arial"/>
        </w:rPr>
        <w:t>Action taken at locality and PCN level will be crucial to delivering priorities contained in the refreshed Health and Wellbeing Strategy.  PCNs will be responsible for the d</w:t>
      </w:r>
      <w:r w:rsidRPr="00274CBA">
        <w:rPr>
          <w:rFonts w:ascii="Arial" w:hAnsi="Arial" w:cs="Arial"/>
        </w:rPr>
        <w:t>elivery of locality based healthy lifestyle services (eg. self-care/patient education, smoking cessation, sexual health (spoke services), cervical screening, weight management)</w:t>
      </w:r>
    </w:p>
    <w:p w:rsidR="00274CBA" w:rsidRPr="00274CBA" w:rsidRDefault="00274CBA" w:rsidP="00274CBA">
      <w:pPr>
        <w:pStyle w:val="ListParagraph"/>
        <w:numPr>
          <w:ilvl w:val="0"/>
          <w:numId w:val="18"/>
        </w:numPr>
        <w:ind w:left="993"/>
        <w:rPr>
          <w:rFonts w:ascii="Arial" w:hAnsi="Arial" w:cs="Arial"/>
        </w:rPr>
      </w:pPr>
      <w:r>
        <w:rPr>
          <w:rFonts w:ascii="Arial" w:hAnsi="Arial" w:cs="Arial"/>
        </w:rPr>
        <w:t xml:space="preserve">As set out in the MOU, </w:t>
      </w:r>
      <w:r w:rsidRPr="00274CBA">
        <w:rPr>
          <w:rFonts w:ascii="Arial" w:hAnsi="Arial" w:cs="Arial"/>
        </w:rPr>
        <w:t>PCNs will</w:t>
      </w:r>
      <w:r w:rsidR="005729A1">
        <w:rPr>
          <w:rFonts w:ascii="Arial" w:hAnsi="Arial" w:cs="Arial"/>
        </w:rPr>
        <w:t xml:space="preserve"> also</w:t>
      </w:r>
      <w:r w:rsidRPr="00274CBA">
        <w:rPr>
          <w:rFonts w:ascii="Arial" w:hAnsi="Arial" w:cs="Arial"/>
        </w:rPr>
        <w:t xml:space="preserve"> be responsible for delivering a wider range of services closer to people’s homes, which are likely to be aligned with the refreshed Strategy priorities including: </w:t>
      </w:r>
    </w:p>
    <w:p w:rsidR="00274CBA" w:rsidRPr="00274CBA" w:rsidRDefault="00274CBA" w:rsidP="00274CBA">
      <w:pPr>
        <w:pStyle w:val="ListParagraph"/>
        <w:numPr>
          <w:ilvl w:val="1"/>
          <w:numId w:val="18"/>
        </w:numPr>
        <w:spacing w:before="245" w:after="0" w:line="276" w:lineRule="exact"/>
        <w:ind w:right="-9"/>
        <w:jc w:val="both"/>
        <w:textAlignment w:val="baseline"/>
        <w:rPr>
          <w:rFonts w:ascii="Arial" w:eastAsia="Arial" w:hAnsi="Arial" w:cs="Arial"/>
          <w:color w:val="000000"/>
        </w:rPr>
      </w:pPr>
      <w:r w:rsidRPr="00274CBA">
        <w:rPr>
          <w:rFonts w:ascii="Arial" w:eastAsia="Arial" w:hAnsi="Arial" w:cs="Arial"/>
          <w:color w:val="000000"/>
        </w:rPr>
        <w:t xml:space="preserve">Minor operations coordinated across GP practices (eg. lumps and bumps, vasectomy services ) </w:t>
      </w:r>
    </w:p>
    <w:p w:rsidR="00274CBA" w:rsidRPr="00274CBA" w:rsidRDefault="00274CBA" w:rsidP="00274CBA">
      <w:pPr>
        <w:pStyle w:val="ListParagraph"/>
        <w:numPr>
          <w:ilvl w:val="1"/>
          <w:numId w:val="18"/>
        </w:numPr>
        <w:spacing w:before="245" w:after="0" w:line="276" w:lineRule="exact"/>
        <w:ind w:right="-9"/>
        <w:jc w:val="both"/>
        <w:textAlignment w:val="baseline"/>
        <w:rPr>
          <w:rFonts w:ascii="Arial" w:eastAsia="Arial" w:hAnsi="Arial" w:cs="Arial"/>
          <w:color w:val="000000"/>
        </w:rPr>
      </w:pPr>
      <w:r w:rsidRPr="00274CBA">
        <w:rPr>
          <w:rFonts w:ascii="Arial" w:eastAsia="Arial" w:hAnsi="Arial" w:cs="Arial"/>
          <w:color w:val="000000"/>
        </w:rPr>
        <w:t>Long Term Conditions case-finding programmes including hypertension, AF and depression screening.</w:t>
      </w:r>
    </w:p>
    <w:p w:rsidR="00274CBA" w:rsidRPr="00274CBA" w:rsidRDefault="00274CBA" w:rsidP="00274CBA">
      <w:pPr>
        <w:pStyle w:val="ListParagraph"/>
        <w:numPr>
          <w:ilvl w:val="1"/>
          <w:numId w:val="18"/>
        </w:numPr>
        <w:spacing w:before="245" w:after="0" w:line="276" w:lineRule="exact"/>
        <w:ind w:right="-9"/>
        <w:jc w:val="both"/>
        <w:textAlignment w:val="baseline"/>
        <w:rPr>
          <w:rFonts w:ascii="Arial" w:eastAsia="Arial" w:hAnsi="Arial" w:cs="Arial"/>
          <w:color w:val="000000"/>
        </w:rPr>
      </w:pPr>
      <w:r w:rsidRPr="00274CBA">
        <w:rPr>
          <w:rFonts w:ascii="Arial" w:eastAsia="Arial" w:hAnsi="Arial" w:cs="Arial"/>
          <w:color w:val="000000"/>
        </w:rPr>
        <w:t xml:space="preserve">Delivery of dental care and improved oral health programmes </w:t>
      </w:r>
    </w:p>
    <w:p w:rsidR="00274CBA" w:rsidRPr="00274CBA" w:rsidRDefault="00274CBA" w:rsidP="00274CBA">
      <w:pPr>
        <w:pStyle w:val="ListParagraph"/>
        <w:numPr>
          <w:ilvl w:val="1"/>
          <w:numId w:val="18"/>
        </w:numPr>
        <w:spacing w:before="245" w:after="0" w:line="276" w:lineRule="exact"/>
        <w:ind w:right="-9"/>
        <w:jc w:val="both"/>
        <w:textAlignment w:val="baseline"/>
        <w:rPr>
          <w:rFonts w:ascii="Arial" w:eastAsia="Arial" w:hAnsi="Arial" w:cs="Arial"/>
          <w:color w:val="000000"/>
        </w:rPr>
      </w:pPr>
      <w:r w:rsidRPr="00274CBA">
        <w:rPr>
          <w:rFonts w:ascii="Arial" w:eastAsia="Arial" w:hAnsi="Arial" w:cs="Arial"/>
          <w:color w:val="000000"/>
        </w:rPr>
        <w:t xml:space="preserve">Single, integrated ‘one stop shop’ clinics for the management of diabetes, cardio-vascular disease and respiratory long-term conditions with input from secondary care consultants. </w:t>
      </w:r>
    </w:p>
    <w:p w:rsidR="00274CBA" w:rsidRPr="00274CBA" w:rsidRDefault="00274CBA" w:rsidP="00274CBA">
      <w:pPr>
        <w:pStyle w:val="ListParagraph"/>
        <w:numPr>
          <w:ilvl w:val="1"/>
          <w:numId w:val="18"/>
        </w:numPr>
        <w:spacing w:before="245" w:after="0" w:line="276" w:lineRule="exact"/>
        <w:ind w:right="-9"/>
        <w:jc w:val="both"/>
        <w:textAlignment w:val="baseline"/>
        <w:rPr>
          <w:rFonts w:ascii="Arial" w:eastAsia="Arial" w:hAnsi="Arial" w:cs="Arial"/>
          <w:color w:val="000000"/>
        </w:rPr>
      </w:pPr>
      <w:r w:rsidRPr="00274CBA">
        <w:rPr>
          <w:rFonts w:ascii="Arial" w:eastAsia="Arial" w:hAnsi="Arial" w:cs="Arial"/>
          <w:color w:val="000000"/>
        </w:rPr>
        <w:t>New model of care for Common Mental Health Disorders and some mental health services for patients with SMI including IAPT, Dementia and Psychiatric Nursing</w:t>
      </w:r>
    </w:p>
    <w:p w:rsidR="00274CBA" w:rsidRPr="00274CBA" w:rsidRDefault="00274CBA" w:rsidP="00274CBA">
      <w:pPr>
        <w:pStyle w:val="ListParagraph"/>
        <w:numPr>
          <w:ilvl w:val="1"/>
          <w:numId w:val="18"/>
        </w:numPr>
        <w:spacing w:before="245" w:after="0" w:line="276" w:lineRule="exact"/>
        <w:ind w:right="-9"/>
        <w:jc w:val="both"/>
        <w:textAlignment w:val="baseline"/>
        <w:rPr>
          <w:rFonts w:ascii="Arial" w:eastAsia="Arial" w:hAnsi="Arial" w:cs="Arial"/>
          <w:color w:val="000000"/>
        </w:rPr>
      </w:pPr>
      <w:r w:rsidRPr="00274CBA">
        <w:rPr>
          <w:rFonts w:ascii="Arial" w:eastAsia="Arial" w:hAnsi="Arial" w:cs="Arial"/>
          <w:color w:val="000000"/>
        </w:rPr>
        <w:t xml:space="preserve">Adult Social Care assessment/fieldwork services </w:t>
      </w:r>
    </w:p>
    <w:p w:rsidR="00274CBA" w:rsidRPr="00274CBA" w:rsidRDefault="00274CBA" w:rsidP="00274CBA">
      <w:pPr>
        <w:pStyle w:val="ListParagraph"/>
        <w:numPr>
          <w:ilvl w:val="1"/>
          <w:numId w:val="18"/>
        </w:numPr>
        <w:spacing w:before="245" w:after="0" w:line="276" w:lineRule="exact"/>
        <w:ind w:right="-9"/>
        <w:jc w:val="both"/>
        <w:textAlignment w:val="baseline"/>
        <w:rPr>
          <w:rFonts w:ascii="Arial" w:eastAsia="Arial" w:hAnsi="Arial" w:cs="Arial"/>
          <w:color w:val="000000"/>
        </w:rPr>
      </w:pPr>
      <w:r w:rsidRPr="00274CBA">
        <w:rPr>
          <w:rFonts w:ascii="Arial" w:eastAsia="Arial" w:hAnsi="Arial" w:cs="Arial"/>
          <w:color w:val="000000"/>
        </w:rPr>
        <w:t>Social Prescribing</w:t>
      </w:r>
    </w:p>
    <w:p w:rsidR="00274CBA" w:rsidRPr="00274CBA" w:rsidRDefault="00274CBA" w:rsidP="00274CBA">
      <w:pPr>
        <w:pStyle w:val="ListParagraph"/>
        <w:numPr>
          <w:ilvl w:val="1"/>
          <w:numId w:val="18"/>
        </w:numPr>
        <w:spacing w:before="245" w:after="0" w:line="276" w:lineRule="exact"/>
        <w:ind w:right="-9"/>
        <w:jc w:val="both"/>
        <w:textAlignment w:val="baseline"/>
        <w:rPr>
          <w:rFonts w:ascii="Arial" w:eastAsia="Arial" w:hAnsi="Arial" w:cs="Arial"/>
          <w:color w:val="000000"/>
        </w:rPr>
      </w:pPr>
      <w:r w:rsidRPr="00274CBA">
        <w:rPr>
          <w:rFonts w:ascii="Arial" w:eastAsia="Arial" w:hAnsi="Arial" w:cs="Arial"/>
          <w:color w:val="000000"/>
        </w:rPr>
        <w:t>The Schools Wellbeing Service (defining a school as a community)</w:t>
      </w:r>
    </w:p>
    <w:p w:rsidR="00274CBA" w:rsidRPr="00274CBA" w:rsidRDefault="00274CBA" w:rsidP="00274CBA">
      <w:pPr>
        <w:pStyle w:val="ListParagraph"/>
        <w:numPr>
          <w:ilvl w:val="1"/>
          <w:numId w:val="18"/>
        </w:numPr>
        <w:spacing w:before="245" w:after="0" w:line="276" w:lineRule="exact"/>
        <w:ind w:right="-9"/>
        <w:jc w:val="both"/>
        <w:textAlignment w:val="baseline"/>
        <w:rPr>
          <w:rFonts w:ascii="Arial" w:eastAsia="Arial" w:hAnsi="Arial" w:cs="Arial"/>
          <w:color w:val="000000"/>
        </w:rPr>
      </w:pPr>
      <w:r w:rsidRPr="00274CBA">
        <w:rPr>
          <w:rFonts w:ascii="Arial" w:eastAsia="Arial" w:hAnsi="Arial" w:cs="Arial"/>
          <w:color w:val="000000"/>
        </w:rPr>
        <w:t>Children’s Centres – a wide range of services and support for families with young children.</w:t>
      </w:r>
    </w:p>
    <w:p w:rsidR="00274CBA" w:rsidRDefault="00274CBA" w:rsidP="00274CBA">
      <w:pPr>
        <w:pStyle w:val="ListParagraph"/>
        <w:ind w:left="0"/>
        <w:rPr>
          <w:rFonts w:ascii="Arial" w:hAnsi="Arial" w:cs="Arial"/>
        </w:rPr>
      </w:pPr>
    </w:p>
    <w:p w:rsidR="00BB682F" w:rsidRPr="005729A1" w:rsidRDefault="005729A1" w:rsidP="005729A1">
      <w:pPr>
        <w:pStyle w:val="ListParagraph"/>
        <w:numPr>
          <w:ilvl w:val="1"/>
          <w:numId w:val="17"/>
        </w:numPr>
        <w:spacing w:after="0" w:line="240" w:lineRule="auto"/>
        <w:ind w:left="284"/>
        <w:rPr>
          <w:rFonts w:ascii="Arial" w:hAnsi="Arial" w:cs="Arial"/>
        </w:rPr>
      </w:pPr>
      <w:r w:rsidRPr="005729A1">
        <w:rPr>
          <w:rFonts w:ascii="Arial" w:hAnsi="Arial" w:cs="Arial"/>
        </w:rPr>
        <w:t>The refreshed Strategy will identify the health and wellbeing priorities for Thurrock and should be integral part of determining and informing both system and PCN level priorities.</w:t>
      </w:r>
    </w:p>
    <w:p w:rsidR="00BB682F" w:rsidRDefault="00BB682F" w:rsidP="007245DE">
      <w:pPr>
        <w:pStyle w:val="ListParagraph"/>
        <w:spacing w:after="0" w:line="240" w:lineRule="auto"/>
        <w:ind w:left="0"/>
        <w:rPr>
          <w:rFonts w:ascii="Arial" w:hAnsi="Arial" w:cs="Arial"/>
          <w:b/>
        </w:rPr>
      </w:pPr>
    </w:p>
    <w:p w:rsidR="007245DE" w:rsidRPr="00717752" w:rsidRDefault="00BB682F" w:rsidP="007245DE">
      <w:pPr>
        <w:pStyle w:val="ListParagraph"/>
        <w:spacing w:after="0" w:line="240" w:lineRule="auto"/>
        <w:ind w:left="0"/>
        <w:rPr>
          <w:rFonts w:ascii="Arial" w:hAnsi="Arial" w:cs="Arial"/>
          <w:b/>
        </w:rPr>
      </w:pPr>
      <w:r>
        <w:rPr>
          <w:rFonts w:ascii="Arial" w:hAnsi="Arial" w:cs="Arial"/>
          <w:b/>
        </w:rPr>
        <w:t>6</w:t>
      </w:r>
      <w:r w:rsidR="007245DE" w:rsidRPr="00717752">
        <w:rPr>
          <w:rFonts w:ascii="Arial" w:hAnsi="Arial" w:cs="Arial"/>
          <w:b/>
        </w:rPr>
        <w:t>.  Outline approach for refreshing Thurrock’s Health and Wellbeing Strategy</w:t>
      </w:r>
    </w:p>
    <w:p w:rsidR="007245DE" w:rsidRDefault="007245DE" w:rsidP="007245DE">
      <w:pPr>
        <w:pStyle w:val="ListParagraph"/>
        <w:spacing w:after="0" w:line="240" w:lineRule="auto"/>
        <w:ind w:left="0"/>
        <w:rPr>
          <w:rFonts w:ascii="Arial" w:hAnsi="Arial" w:cs="Arial"/>
        </w:rPr>
      </w:pPr>
    </w:p>
    <w:p w:rsidR="00551D92" w:rsidRPr="005D004B" w:rsidRDefault="00CD159E" w:rsidP="007245DE">
      <w:pPr>
        <w:pStyle w:val="ListParagraph"/>
        <w:spacing w:after="0" w:line="240" w:lineRule="auto"/>
        <w:ind w:left="0"/>
        <w:rPr>
          <w:rFonts w:ascii="Arial" w:hAnsi="Arial" w:cs="Arial"/>
          <w:u w:val="single"/>
        </w:rPr>
      </w:pPr>
      <w:r>
        <w:rPr>
          <w:rFonts w:ascii="Arial" w:hAnsi="Arial" w:cs="Arial"/>
          <w:u w:val="single"/>
        </w:rPr>
        <w:t xml:space="preserve">Activity </w:t>
      </w:r>
      <w:r w:rsidR="00551D92" w:rsidRPr="005D004B">
        <w:rPr>
          <w:rFonts w:ascii="Arial" w:hAnsi="Arial" w:cs="Arial"/>
          <w:u w:val="single"/>
        </w:rPr>
        <w:t>completed to date</w:t>
      </w:r>
      <w:r>
        <w:rPr>
          <w:rFonts w:ascii="Arial" w:hAnsi="Arial" w:cs="Arial"/>
          <w:u w:val="single"/>
        </w:rPr>
        <w:t xml:space="preserve"> to support the refresh</w:t>
      </w:r>
    </w:p>
    <w:p w:rsidR="00551D92" w:rsidRDefault="00551D92" w:rsidP="007245DE">
      <w:pPr>
        <w:pStyle w:val="ListParagraph"/>
        <w:spacing w:after="0" w:line="240" w:lineRule="auto"/>
        <w:ind w:left="0"/>
        <w:rPr>
          <w:rFonts w:ascii="Arial" w:hAnsi="Arial" w:cs="Arial"/>
        </w:rPr>
      </w:pPr>
    </w:p>
    <w:p w:rsidR="00BB682F" w:rsidRPr="00BB682F" w:rsidRDefault="00BB682F" w:rsidP="00BB682F">
      <w:pPr>
        <w:pStyle w:val="ListParagraph"/>
        <w:numPr>
          <w:ilvl w:val="0"/>
          <w:numId w:val="17"/>
        </w:numPr>
        <w:spacing w:after="0" w:line="240" w:lineRule="auto"/>
        <w:rPr>
          <w:rFonts w:ascii="Arial" w:hAnsi="Arial" w:cs="Arial"/>
          <w:vanish/>
        </w:rPr>
      </w:pPr>
    </w:p>
    <w:p w:rsidR="005D004B" w:rsidRPr="00CB1B7C" w:rsidRDefault="005D004B" w:rsidP="00BB682F">
      <w:pPr>
        <w:pStyle w:val="ListParagraph"/>
        <w:numPr>
          <w:ilvl w:val="1"/>
          <w:numId w:val="17"/>
        </w:numPr>
        <w:spacing w:after="0" w:line="240" w:lineRule="auto"/>
        <w:ind w:left="284"/>
        <w:rPr>
          <w:rFonts w:ascii="Arial" w:hAnsi="Arial" w:cs="Arial"/>
        </w:rPr>
      </w:pPr>
      <w:r w:rsidRPr="00CB1B7C">
        <w:rPr>
          <w:rFonts w:ascii="Arial" w:hAnsi="Arial" w:cs="Arial"/>
        </w:rPr>
        <w:t>A light touch project management approach has been created to support the delivery of the Health and Wellbeing S</w:t>
      </w:r>
      <w:r w:rsidR="00CB1B7C" w:rsidRPr="00CB1B7C">
        <w:rPr>
          <w:rFonts w:ascii="Arial" w:hAnsi="Arial" w:cs="Arial"/>
        </w:rPr>
        <w:t>trategy refresh which includes</w:t>
      </w:r>
      <w:r w:rsidR="00CB1B7C">
        <w:rPr>
          <w:rFonts w:ascii="Arial" w:hAnsi="Arial" w:cs="Arial"/>
        </w:rPr>
        <w:t xml:space="preserve"> a</w:t>
      </w:r>
      <w:r w:rsidRPr="00CB1B7C">
        <w:rPr>
          <w:rFonts w:ascii="Arial" w:hAnsi="Arial" w:cs="Arial"/>
        </w:rPr>
        <w:t xml:space="preserve"> broad timeline, setting out </w:t>
      </w:r>
      <w:r w:rsidRPr="00CB1B7C">
        <w:rPr>
          <w:rFonts w:ascii="Arial" w:hAnsi="Arial" w:cs="Arial"/>
        </w:rPr>
        <w:lastRenderedPageBreak/>
        <w:t>key deliverables and products</w:t>
      </w:r>
      <w:r w:rsidR="00CB1B7C" w:rsidRPr="00CB1B7C">
        <w:rPr>
          <w:rFonts w:ascii="Arial" w:hAnsi="Arial" w:cs="Arial"/>
        </w:rPr>
        <w:t xml:space="preserve"> and identifying key milestones to ensure the refreshed strategy can be launched no later than July 2021. </w:t>
      </w:r>
      <w:r w:rsidR="00B14D30">
        <w:rPr>
          <w:rFonts w:ascii="Arial" w:hAnsi="Arial" w:cs="Arial"/>
        </w:rPr>
        <w:t xml:space="preserve">A snapshot of the key milestones is provided at </w:t>
      </w:r>
      <w:r w:rsidR="00B14D30" w:rsidRPr="00B50E14">
        <w:rPr>
          <w:rFonts w:ascii="Arial" w:hAnsi="Arial" w:cs="Arial"/>
          <w:b/>
        </w:rPr>
        <w:t>Annex A</w:t>
      </w:r>
    </w:p>
    <w:p w:rsidR="005D004B" w:rsidRDefault="005D004B" w:rsidP="005D004B">
      <w:pPr>
        <w:pStyle w:val="ListParagraph"/>
        <w:spacing w:after="0" w:line="240" w:lineRule="auto"/>
        <w:ind w:left="360"/>
        <w:rPr>
          <w:rFonts w:ascii="Arial" w:hAnsi="Arial" w:cs="Arial"/>
        </w:rPr>
      </w:pPr>
    </w:p>
    <w:p w:rsidR="005D004B" w:rsidRPr="00B50E14" w:rsidRDefault="005D004B" w:rsidP="00B50E14">
      <w:pPr>
        <w:pStyle w:val="ListParagraph"/>
        <w:numPr>
          <w:ilvl w:val="1"/>
          <w:numId w:val="17"/>
        </w:numPr>
        <w:spacing w:after="0" w:line="240" w:lineRule="auto"/>
        <w:ind w:left="284"/>
        <w:rPr>
          <w:rFonts w:ascii="Arial" w:hAnsi="Arial" w:cs="Arial"/>
        </w:rPr>
      </w:pPr>
      <w:r w:rsidRPr="00717752">
        <w:rPr>
          <w:rFonts w:ascii="Arial" w:hAnsi="Arial" w:cs="Arial"/>
        </w:rPr>
        <w:t xml:space="preserve">An analysis of progress made against current Health and Wellbeing Strategy priorities </w:t>
      </w:r>
      <w:r>
        <w:rPr>
          <w:rFonts w:ascii="Arial" w:hAnsi="Arial" w:cs="Arial"/>
        </w:rPr>
        <w:t>has been completed</w:t>
      </w:r>
      <w:r w:rsidR="00CB1B7C">
        <w:rPr>
          <w:rFonts w:ascii="Arial" w:hAnsi="Arial" w:cs="Arial"/>
        </w:rPr>
        <w:t>.  This helps to inform discussions with system partners when considering w</w:t>
      </w:r>
      <w:r w:rsidRPr="00717752">
        <w:rPr>
          <w:rFonts w:ascii="Arial" w:hAnsi="Arial" w:cs="Arial"/>
        </w:rPr>
        <w:t>hether they should continue to</w:t>
      </w:r>
      <w:r>
        <w:rPr>
          <w:rFonts w:ascii="Arial" w:hAnsi="Arial" w:cs="Arial"/>
        </w:rPr>
        <w:t xml:space="preserve"> be reflected in the refreshed S</w:t>
      </w:r>
      <w:r w:rsidRPr="00717752">
        <w:rPr>
          <w:rFonts w:ascii="Arial" w:hAnsi="Arial" w:cs="Arial"/>
        </w:rPr>
        <w:t xml:space="preserve">trategy, ensuring it continues to focus on the areas that matter most.  </w:t>
      </w:r>
    </w:p>
    <w:p w:rsidR="00CB1B7C" w:rsidRDefault="00CB1B7C" w:rsidP="00B50E14">
      <w:pPr>
        <w:pStyle w:val="ListParagraph"/>
        <w:spacing w:after="0" w:line="240" w:lineRule="auto"/>
        <w:ind w:left="284"/>
        <w:rPr>
          <w:rFonts w:ascii="Arial" w:hAnsi="Arial" w:cs="Arial"/>
        </w:rPr>
      </w:pPr>
    </w:p>
    <w:p w:rsidR="00784848" w:rsidRDefault="00CB1B7C" w:rsidP="00B50E14">
      <w:pPr>
        <w:pStyle w:val="ListParagraph"/>
        <w:numPr>
          <w:ilvl w:val="1"/>
          <w:numId w:val="17"/>
        </w:numPr>
        <w:spacing w:after="0" w:line="240" w:lineRule="auto"/>
        <w:ind w:left="284"/>
        <w:rPr>
          <w:rFonts w:ascii="Arial" w:hAnsi="Arial" w:cs="Arial"/>
        </w:rPr>
      </w:pPr>
      <w:r w:rsidRPr="00717752">
        <w:rPr>
          <w:rFonts w:ascii="Arial" w:hAnsi="Arial" w:cs="Arial"/>
        </w:rPr>
        <w:t>A review of recent policy developments and key literature</w:t>
      </w:r>
      <w:r>
        <w:rPr>
          <w:rFonts w:ascii="Arial" w:hAnsi="Arial" w:cs="Arial"/>
        </w:rPr>
        <w:t xml:space="preserve"> (including JSNAs)</w:t>
      </w:r>
      <w:r w:rsidRPr="00717752">
        <w:rPr>
          <w:rFonts w:ascii="Arial" w:hAnsi="Arial" w:cs="Arial"/>
        </w:rPr>
        <w:t xml:space="preserve"> </w:t>
      </w:r>
      <w:r w:rsidR="00B14D30">
        <w:rPr>
          <w:rFonts w:ascii="Arial" w:hAnsi="Arial" w:cs="Arial"/>
        </w:rPr>
        <w:t>has been undertaken and has helped to inform</w:t>
      </w:r>
      <w:r>
        <w:rPr>
          <w:rFonts w:ascii="Arial" w:hAnsi="Arial" w:cs="Arial"/>
        </w:rPr>
        <w:t xml:space="preserve"> discussions with key partners about future priorities</w:t>
      </w:r>
      <w:r w:rsidR="00B14D30">
        <w:rPr>
          <w:rFonts w:ascii="Arial" w:hAnsi="Arial" w:cs="Arial"/>
        </w:rPr>
        <w:t xml:space="preserve"> and how the findings of JSNA’s and other research will be reflected in their priorities</w:t>
      </w:r>
      <w:r>
        <w:rPr>
          <w:rFonts w:ascii="Arial" w:hAnsi="Arial" w:cs="Arial"/>
        </w:rPr>
        <w:t xml:space="preserve">.  </w:t>
      </w:r>
      <w:r w:rsidRPr="00717752">
        <w:rPr>
          <w:rFonts w:ascii="Arial" w:hAnsi="Arial" w:cs="Arial"/>
        </w:rPr>
        <w:t xml:space="preserve"> </w:t>
      </w:r>
    </w:p>
    <w:p w:rsidR="00CB1B7C" w:rsidRDefault="00CB1B7C" w:rsidP="00B50E14">
      <w:pPr>
        <w:pStyle w:val="ListParagraph"/>
        <w:spacing w:after="0" w:line="240" w:lineRule="auto"/>
        <w:ind w:left="284"/>
        <w:rPr>
          <w:rFonts w:ascii="Arial" w:hAnsi="Arial" w:cs="Arial"/>
        </w:rPr>
      </w:pPr>
    </w:p>
    <w:p w:rsidR="00CB1B7C" w:rsidRDefault="00CB1B7C" w:rsidP="00B50E14">
      <w:pPr>
        <w:pStyle w:val="ListParagraph"/>
        <w:numPr>
          <w:ilvl w:val="1"/>
          <w:numId w:val="17"/>
        </w:numPr>
        <w:spacing w:after="0" w:line="240" w:lineRule="auto"/>
        <w:ind w:left="284"/>
        <w:rPr>
          <w:rFonts w:ascii="Arial" w:hAnsi="Arial" w:cs="Arial"/>
        </w:rPr>
      </w:pPr>
      <w:r w:rsidRPr="00717752">
        <w:rPr>
          <w:rFonts w:ascii="Arial" w:hAnsi="Arial" w:cs="Arial"/>
        </w:rPr>
        <w:t xml:space="preserve">A </w:t>
      </w:r>
      <w:r>
        <w:rPr>
          <w:rFonts w:ascii="Arial" w:hAnsi="Arial" w:cs="Arial"/>
        </w:rPr>
        <w:t xml:space="preserve">draft </w:t>
      </w:r>
      <w:r w:rsidRPr="00717752">
        <w:rPr>
          <w:rFonts w:ascii="Arial" w:hAnsi="Arial" w:cs="Arial"/>
        </w:rPr>
        <w:t xml:space="preserve">communication strategy </w:t>
      </w:r>
      <w:r>
        <w:rPr>
          <w:rFonts w:ascii="Arial" w:hAnsi="Arial" w:cs="Arial"/>
        </w:rPr>
        <w:t xml:space="preserve">has been created </w:t>
      </w:r>
      <w:r w:rsidRPr="00717752">
        <w:rPr>
          <w:rFonts w:ascii="Arial" w:hAnsi="Arial" w:cs="Arial"/>
        </w:rPr>
        <w:t>and plan will be created to support the id</w:t>
      </w:r>
      <w:r>
        <w:rPr>
          <w:rFonts w:ascii="Arial" w:hAnsi="Arial" w:cs="Arial"/>
        </w:rPr>
        <w:t xml:space="preserve">entification of key stakeholders, provided at </w:t>
      </w:r>
      <w:r w:rsidRPr="00B50E14">
        <w:rPr>
          <w:rFonts w:ascii="Arial" w:hAnsi="Arial" w:cs="Arial"/>
          <w:b/>
        </w:rPr>
        <w:t>Annex B</w:t>
      </w:r>
      <w:r w:rsidRPr="00717752">
        <w:rPr>
          <w:rFonts w:ascii="Arial" w:hAnsi="Arial" w:cs="Arial"/>
        </w:rPr>
        <w:t xml:space="preserve">.  </w:t>
      </w:r>
      <w:r w:rsidR="00B14D30">
        <w:rPr>
          <w:rFonts w:ascii="Arial" w:hAnsi="Arial" w:cs="Arial"/>
        </w:rPr>
        <w:t>Following the establishment of a Task and Finish Group a</w:t>
      </w:r>
      <w:r w:rsidRPr="00717752">
        <w:rPr>
          <w:rFonts w:ascii="Arial" w:hAnsi="Arial" w:cs="Arial"/>
        </w:rPr>
        <w:t xml:space="preserve"> detailed activity engagement plan will be developed to underpin and deliver the communication strategy.</w:t>
      </w:r>
    </w:p>
    <w:p w:rsidR="00CB1B7C" w:rsidRDefault="00CB1B7C" w:rsidP="00CC0259">
      <w:pPr>
        <w:pStyle w:val="ListParagraph"/>
        <w:spacing w:after="0" w:line="240" w:lineRule="auto"/>
        <w:ind w:left="0"/>
        <w:rPr>
          <w:rFonts w:ascii="Arial" w:hAnsi="Arial" w:cs="Arial"/>
          <w:u w:val="single"/>
        </w:rPr>
      </w:pPr>
    </w:p>
    <w:p w:rsidR="00B50E14" w:rsidRDefault="00B50E14" w:rsidP="00CC0259">
      <w:pPr>
        <w:pStyle w:val="ListParagraph"/>
        <w:spacing w:after="0" w:line="240" w:lineRule="auto"/>
        <w:ind w:left="0"/>
        <w:rPr>
          <w:rFonts w:ascii="Arial" w:hAnsi="Arial" w:cs="Arial"/>
          <w:i/>
        </w:rPr>
      </w:pPr>
      <w:r>
        <w:rPr>
          <w:rFonts w:ascii="Arial" w:hAnsi="Arial" w:cs="Arial"/>
          <w:i/>
        </w:rPr>
        <w:t>Review of Health and Wellbeing Strategy Framework</w:t>
      </w:r>
    </w:p>
    <w:p w:rsidR="00B50E14" w:rsidRDefault="00B50E14" w:rsidP="00CC0259">
      <w:pPr>
        <w:pStyle w:val="ListParagraph"/>
        <w:spacing w:after="0" w:line="240" w:lineRule="auto"/>
        <w:ind w:left="0"/>
        <w:rPr>
          <w:rFonts w:ascii="Arial" w:hAnsi="Arial" w:cs="Arial"/>
          <w:i/>
        </w:rPr>
      </w:pPr>
    </w:p>
    <w:p w:rsidR="00CB128C" w:rsidRDefault="00CB128C" w:rsidP="00B50E14">
      <w:pPr>
        <w:pStyle w:val="ListParagraph"/>
        <w:numPr>
          <w:ilvl w:val="1"/>
          <w:numId w:val="17"/>
        </w:numPr>
        <w:spacing w:after="0" w:line="240" w:lineRule="auto"/>
        <w:ind w:left="284"/>
        <w:rPr>
          <w:rFonts w:ascii="Arial" w:hAnsi="Arial" w:cs="Arial"/>
        </w:rPr>
      </w:pPr>
      <w:r>
        <w:rPr>
          <w:rFonts w:ascii="Arial" w:hAnsi="Arial" w:cs="Arial"/>
        </w:rPr>
        <w:t>C</w:t>
      </w:r>
      <w:r w:rsidR="00B50E14" w:rsidRPr="00717752">
        <w:rPr>
          <w:rFonts w:ascii="Arial" w:hAnsi="Arial" w:cs="Arial"/>
        </w:rPr>
        <w:t>onsideration</w:t>
      </w:r>
      <w:r>
        <w:rPr>
          <w:rFonts w:ascii="Arial" w:hAnsi="Arial" w:cs="Arial"/>
        </w:rPr>
        <w:t xml:space="preserve"> has been given to</w:t>
      </w:r>
      <w:r w:rsidR="00B50E14" w:rsidRPr="00717752">
        <w:rPr>
          <w:rFonts w:ascii="Arial" w:hAnsi="Arial" w:cs="Arial"/>
        </w:rPr>
        <w:t xml:space="preserve"> how the Health and Wellbeing Strategy</w:t>
      </w:r>
      <w:r>
        <w:rPr>
          <w:rFonts w:ascii="Arial" w:hAnsi="Arial" w:cs="Arial"/>
        </w:rPr>
        <w:t>’s 5 Strategic</w:t>
      </w:r>
      <w:r w:rsidR="00B50E14" w:rsidRPr="00717752">
        <w:rPr>
          <w:rFonts w:ascii="Arial" w:hAnsi="Arial" w:cs="Arial"/>
        </w:rPr>
        <w:t xml:space="preserve"> Goals and Objectives framework, with some slight tweaking, will enable the refreshed strategy to continue to focus on existing Strategy priorities</w:t>
      </w:r>
      <w:r w:rsidR="00B14D30">
        <w:rPr>
          <w:rFonts w:ascii="Arial" w:hAnsi="Arial" w:cs="Arial"/>
        </w:rPr>
        <w:t>,</w:t>
      </w:r>
      <w:r w:rsidR="00B50E14" w:rsidRPr="00717752">
        <w:rPr>
          <w:rFonts w:ascii="Arial" w:hAnsi="Arial" w:cs="Arial"/>
        </w:rPr>
        <w:t xml:space="preserve"> as well as any emerging and future priorities that impact on people’s health and wellbeing.</w:t>
      </w:r>
    </w:p>
    <w:p w:rsidR="00B50E14" w:rsidRDefault="00CB128C" w:rsidP="00CB128C">
      <w:pPr>
        <w:pStyle w:val="ListParagraph"/>
        <w:spacing w:after="0" w:line="240" w:lineRule="auto"/>
        <w:ind w:left="284"/>
        <w:rPr>
          <w:rFonts w:ascii="Arial" w:hAnsi="Arial" w:cs="Arial"/>
        </w:rPr>
      </w:pPr>
      <w:r>
        <w:rPr>
          <w:rFonts w:ascii="Arial" w:hAnsi="Arial" w:cs="Arial"/>
        </w:rPr>
        <w:t xml:space="preserve">  </w:t>
      </w:r>
    </w:p>
    <w:p w:rsidR="00CB128C" w:rsidRDefault="00CB128C" w:rsidP="00B50E14">
      <w:pPr>
        <w:pStyle w:val="ListParagraph"/>
        <w:numPr>
          <w:ilvl w:val="1"/>
          <w:numId w:val="17"/>
        </w:numPr>
        <w:spacing w:after="0" w:line="240" w:lineRule="auto"/>
        <w:ind w:left="284"/>
        <w:rPr>
          <w:rFonts w:ascii="Arial" w:hAnsi="Arial" w:cs="Arial"/>
        </w:rPr>
      </w:pPr>
      <w:r>
        <w:rPr>
          <w:rFonts w:ascii="Arial" w:hAnsi="Arial" w:cs="Arial"/>
        </w:rPr>
        <w:t>A new Framework has been created comprising seven domains which incorporate the current Strategy’s 5 Strategic Goals as well as the 25 priorities (otherwise referred to as objectives) that underpin them.  The newly created framework provides a wider focus on the key determinants of health</w:t>
      </w:r>
      <w:r w:rsidR="00B14D30">
        <w:rPr>
          <w:rFonts w:ascii="Arial" w:hAnsi="Arial" w:cs="Arial"/>
        </w:rPr>
        <w:t xml:space="preserve"> and comprises 7 Strategic Domains</w:t>
      </w:r>
      <w:r>
        <w:rPr>
          <w:rFonts w:ascii="Arial" w:hAnsi="Arial" w:cs="Arial"/>
        </w:rPr>
        <w:t>.</w:t>
      </w:r>
      <w:r w:rsidR="00B14D30">
        <w:rPr>
          <w:rFonts w:ascii="Arial" w:hAnsi="Arial" w:cs="Arial"/>
        </w:rPr>
        <w:t xml:space="preserve">  Potential priorities are still being established and subject to public and partner consultation.</w:t>
      </w:r>
      <w:r>
        <w:rPr>
          <w:rFonts w:ascii="Arial" w:hAnsi="Arial" w:cs="Arial"/>
        </w:rPr>
        <w:t xml:space="preserve">  </w:t>
      </w:r>
    </w:p>
    <w:p w:rsidR="00CB128C" w:rsidRDefault="00CB128C" w:rsidP="00CB128C">
      <w:pPr>
        <w:pStyle w:val="ListParagraph"/>
        <w:rPr>
          <w:rFonts w:ascii="Arial" w:hAnsi="Arial" w:cs="Arial"/>
        </w:rPr>
      </w:pPr>
    </w:p>
    <w:p w:rsidR="0060618C" w:rsidRDefault="00CB128C" w:rsidP="0060618C">
      <w:pPr>
        <w:pStyle w:val="ListParagraph"/>
        <w:numPr>
          <w:ilvl w:val="1"/>
          <w:numId w:val="17"/>
        </w:numPr>
        <w:spacing w:after="0" w:line="240" w:lineRule="auto"/>
        <w:ind w:left="284"/>
        <w:rPr>
          <w:rFonts w:ascii="Arial" w:hAnsi="Arial" w:cs="Arial"/>
        </w:rPr>
      </w:pPr>
      <w:r>
        <w:rPr>
          <w:rFonts w:ascii="Arial" w:hAnsi="Arial" w:cs="Arial"/>
        </w:rPr>
        <w:t>The new Framework has been largely welcomed by system partners who have been initially engaged to inform the direction of travel of the refresh.</w:t>
      </w:r>
      <w:r w:rsidR="00654A61">
        <w:rPr>
          <w:rFonts w:ascii="Arial" w:hAnsi="Arial" w:cs="Arial"/>
        </w:rPr>
        <w:t xml:space="preserve">  The draft Framework is provided at </w:t>
      </w:r>
      <w:r w:rsidR="00654A61" w:rsidRPr="00654A61">
        <w:rPr>
          <w:rFonts w:ascii="Arial" w:hAnsi="Arial" w:cs="Arial"/>
          <w:b/>
        </w:rPr>
        <w:t>Annex C</w:t>
      </w:r>
      <w:r w:rsidR="00654A61">
        <w:rPr>
          <w:rFonts w:ascii="Arial" w:hAnsi="Arial" w:cs="Arial"/>
          <w:b/>
        </w:rPr>
        <w:t>.</w:t>
      </w:r>
    </w:p>
    <w:p w:rsidR="0060618C" w:rsidRDefault="0060618C" w:rsidP="0060618C">
      <w:pPr>
        <w:pStyle w:val="ListParagraph"/>
        <w:rPr>
          <w:rFonts w:ascii="Arial" w:hAnsi="Arial" w:cs="Arial"/>
          <w:i/>
        </w:rPr>
      </w:pPr>
    </w:p>
    <w:p w:rsidR="00B50E14" w:rsidRPr="0060618C" w:rsidRDefault="00B50E14" w:rsidP="0060618C">
      <w:pPr>
        <w:pStyle w:val="ListParagraph"/>
        <w:spacing w:after="0" w:line="240" w:lineRule="auto"/>
        <w:ind w:left="0"/>
        <w:rPr>
          <w:rFonts w:ascii="Arial" w:hAnsi="Arial" w:cs="Arial"/>
        </w:rPr>
      </w:pPr>
      <w:r w:rsidRPr="0060618C">
        <w:rPr>
          <w:rFonts w:ascii="Arial" w:hAnsi="Arial" w:cs="Arial"/>
          <w:i/>
        </w:rPr>
        <w:t>Initial system partner consultation and key findings</w:t>
      </w:r>
    </w:p>
    <w:p w:rsidR="00B50E14" w:rsidRDefault="00B50E14" w:rsidP="00CC0259">
      <w:pPr>
        <w:pStyle w:val="ListParagraph"/>
        <w:spacing w:after="0" w:line="240" w:lineRule="auto"/>
        <w:ind w:left="0"/>
        <w:rPr>
          <w:rFonts w:ascii="Arial" w:hAnsi="Arial" w:cs="Arial"/>
          <w:u w:val="single"/>
        </w:rPr>
      </w:pPr>
    </w:p>
    <w:p w:rsidR="000D6700" w:rsidRDefault="000D6700" w:rsidP="000D6700">
      <w:pPr>
        <w:pStyle w:val="ListParagraph"/>
        <w:numPr>
          <w:ilvl w:val="1"/>
          <w:numId w:val="17"/>
        </w:numPr>
        <w:spacing w:after="0" w:line="240" w:lineRule="auto"/>
        <w:ind w:left="284"/>
        <w:rPr>
          <w:rFonts w:ascii="Arial" w:hAnsi="Arial" w:cs="Arial"/>
        </w:rPr>
      </w:pPr>
      <w:r w:rsidRPr="000D6700">
        <w:rPr>
          <w:rFonts w:ascii="Arial" w:hAnsi="Arial" w:cs="Arial"/>
        </w:rPr>
        <w:t xml:space="preserve">Over the last month feedback has been sought </w:t>
      </w:r>
      <w:r w:rsidR="007344E2" w:rsidRPr="000D6700">
        <w:rPr>
          <w:rFonts w:ascii="Arial" w:hAnsi="Arial" w:cs="Arial"/>
        </w:rPr>
        <w:t xml:space="preserve">on the current </w:t>
      </w:r>
      <w:r w:rsidR="007344E2">
        <w:rPr>
          <w:rFonts w:ascii="Arial" w:hAnsi="Arial" w:cs="Arial"/>
        </w:rPr>
        <w:t xml:space="preserve">Health and Wellbeing Strategy. </w:t>
      </w:r>
      <w:r w:rsidRPr="000D6700">
        <w:rPr>
          <w:rFonts w:ascii="Arial" w:hAnsi="Arial" w:cs="Arial"/>
        </w:rPr>
        <w:t>from</w:t>
      </w:r>
      <w:r w:rsidR="007344E2">
        <w:rPr>
          <w:rFonts w:ascii="Arial" w:hAnsi="Arial" w:cs="Arial"/>
        </w:rPr>
        <w:t xml:space="preserve"> officers across the council and</w:t>
      </w:r>
      <w:r w:rsidRPr="000D6700">
        <w:rPr>
          <w:rFonts w:ascii="Arial" w:hAnsi="Arial" w:cs="Arial"/>
        </w:rPr>
        <w:t xml:space="preserve"> some key system partners</w:t>
      </w:r>
      <w:r w:rsidR="00B14D30">
        <w:rPr>
          <w:rFonts w:ascii="Arial" w:hAnsi="Arial" w:cs="Arial"/>
        </w:rPr>
        <w:t>, including Thurrock CCG and Thurrock CVS</w:t>
      </w:r>
      <w:r w:rsidR="007344E2">
        <w:rPr>
          <w:rFonts w:ascii="Arial" w:hAnsi="Arial" w:cs="Arial"/>
        </w:rPr>
        <w:t>,</w:t>
      </w:r>
      <w:r w:rsidRPr="000D6700">
        <w:rPr>
          <w:rFonts w:ascii="Arial" w:hAnsi="Arial" w:cs="Arial"/>
        </w:rPr>
        <w:t xml:space="preserve"> </w:t>
      </w:r>
      <w:r w:rsidR="0080448C">
        <w:rPr>
          <w:rFonts w:ascii="Arial" w:hAnsi="Arial" w:cs="Arial"/>
        </w:rPr>
        <w:t>Some key themes have emerged from feedback received to date:</w:t>
      </w:r>
    </w:p>
    <w:p w:rsidR="0080448C" w:rsidRPr="0080448C" w:rsidRDefault="0080448C" w:rsidP="0080448C">
      <w:pPr>
        <w:pStyle w:val="ListParagraph"/>
        <w:numPr>
          <w:ilvl w:val="0"/>
          <w:numId w:val="18"/>
        </w:numPr>
        <w:ind w:left="993"/>
        <w:rPr>
          <w:rFonts w:ascii="Arial" w:hAnsi="Arial" w:cs="Arial"/>
        </w:rPr>
      </w:pPr>
      <w:r w:rsidRPr="0080448C">
        <w:rPr>
          <w:rFonts w:ascii="Arial" w:hAnsi="Arial" w:cs="Arial"/>
        </w:rPr>
        <w:t>The draft Strategy framework has been widely welcomed by system partners to date</w:t>
      </w:r>
    </w:p>
    <w:p w:rsidR="0080448C" w:rsidRPr="0080448C" w:rsidRDefault="0080448C" w:rsidP="0080448C">
      <w:pPr>
        <w:pStyle w:val="ListParagraph"/>
        <w:numPr>
          <w:ilvl w:val="0"/>
          <w:numId w:val="18"/>
        </w:numPr>
        <w:ind w:left="993"/>
        <w:rPr>
          <w:rFonts w:ascii="Arial" w:hAnsi="Arial" w:cs="Arial"/>
        </w:rPr>
      </w:pPr>
      <w:r w:rsidRPr="0080448C">
        <w:rPr>
          <w:rFonts w:ascii="Arial" w:hAnsi="Arial" w:cs="Arial"/>
        </w:rPr>
        <w:t>The refreshed Strategy should focus on wider determinants of health</w:t>
      </w:r>
      <w:r>
        <w:rPr>
          <w:rFonts w:ascii="Arial" w:hAnsi="Arial" w:cs="Arial"/>
        </w:rPr>
        <w:t xml:space="preserve"> particularly around the impact of housing and safety on health and wellbeing</w:t>
      </w:r>
    </w:p>
    <w:p w:rsidR="0080448C" w:rsidRPr="0080448C" w:rsidRDefault="0080448C" w:rsidP="0080448C">
      <w:pPr>
        <w:pStyle w:val="ListParagraph"/>
        <w:numPr>
          <w:ilvl w:val="0"/>
          <w:numId w:val="18"/>
        </w:numPr>
        <w:ind w:left="993"/>
        <w:rPr>
          <w:rFonts w:ascii="Arial" w:hAnsi="Arial" w:cs="Arial"/>
        </w:rPr>
      </w:pPr>
      <w:r w:rsidRPr="0080448C">
        <w:rPr>
          <w:rFonts w:ascii="Arial" w:hAnsi="Arial" w:cs="Arial"/>
        </w:rPr>
        <w:t xml:space="preserve">Governance processes in the refreshed Health and Wellbeing Strategy should be </w:t>
      </w:r>
      <w:r w:rsidR="007344E2">
        <w:rPr>
          <w:rFonts w:ascii="Arial" w:hAnsi="Arial" w:cs="Arial"/>
        </w:rPr>
        <w:t>established, building on existing governance arrangements</w:t>
      </w:r>
    </w:p>
    <w:p w:rsidR="0080448C" w:rsidRDefault="0080448C" w:rsidP="0080448C">
      <w:pPr>
        <w:pStyle w:val="ListParagraph"/>
        <w:numPr>
          <w:ilvl w:val="0"/>
          <w:numId w:val="18"/>
        </w:numPr>
        <w:ind w:left="993"/>
        <w:rPr>
          <w:rFonts w:ascii="Arial" w:hAnsi="Arial" w:cs="Arial"/>
        </w:rPr>
      </w:pPr>
      <w:r w:rsidRPr="0080448C">
        <w:rPr>
          <w:rFonts w:ascii="Arial" w:hAnsi="Arial" w:cs="Arial"/>
        </w:rPr>
        <w:t>The Strategy should be embedded into the day to day work of system partners at all levels</w:t>
      </w:r>
    </w:p>
    <w:p w:rsidR="0080448C" w:rsidRDefault="0080448C" w:rsidP="0080448C">
      <w:pPr>
        <w:pStyle w:val="ListParagraph"/>
        <w:numPr>
          <w:ilvl w:val="0"/>
          <w:numId w:val="18"/>
        </w:numPr>
        <w:ind w:left="993"/>
        <w:rPr>
          <w:rFonts w:ascii="Arial" w:hAnsi="Arial" w:cs="Arial"/>
        </w:rPr>
      </w:pPr>
      <w:r>
        <w:rPr>
          <w:rFonts w:ascii="Arial" w:hAnsi="Arial" w:cs="Arial"/>
        </w:rPr>
        <w:t>The refreshed Strategy should reflect lesson’s learned from COVID-19</w:t>
      </w:r>
      <w:r w:rsidR="007344E2">
        <w:rPr>
          <w:rFonts w:ascii="Arial" w:hAnsi="Arial" w:cs="Arial"/>
        </w:rPr>
        <w:t xml:space="preserve"> </w:t>
      </w:r>
    </w:p>
    <w:p w:rsidR="00D15FD4" w:rsidRDefault="00D15FD4" w:rsidP="0080448C">
      <w:pPr>
        <w:pStyle w:val="ListParagraph"/>
        <w:numPr>
          <w:ilvl w:val="0"/>
          <w:numId w:val="18"/>
        </w:numPr>
        <w:ind w:left="993"/>
        <w:rPr>
          <w:rFonts w:ascii="Arial" w:hAnsi="Arial" w:cs="Arial"/>
        </w:rPr>
      </w:pPr>
      <w:r>
        <w:rPr>
          <w:rFonts w:ascii="Arial" w:hAnsi="Arial" w:cs="Arial"/>
        </w:rPr>
        <w:t>Resources should be identified to ensure that the Strategy remains on system partner radars and effective oversight can be provided and driven forward.</w:t>
      </w:r>
    </w:p>
    <w:p w:rsidR="00521E7C" w:rsidRPr="0080448C" w:rsidRDefault="00521E7C" w:rsidP="0080448C">
      <w:pPr>
        <w:pStyle w:val="ListParagraph"/>
        <w:numPr>
          <w:ilvl w:val="0"/>
          <w:numId w:val="18"/>
        </w:numPr>
        <w:ind w:left="993"/>
        <w:rPr>
          <w:rFonts w:ascii="Arial" w:hAnsi="Arial" w:cs="Arial"/>
        </w:rPr>
      </w:pPr>
      <w:r>
        <w:rPr>
          <w:rFonts w:ascii="Arial" w:hAnsi="Arial" w:cs="Arial"/>
        </w:rPr>
        <w:lastRenderedPageBreak/>
        <w:t>Many of the existing priorities should remain in the refreshed Strategy along with additional priorities that have been identified</w:t>
      </w:r>
    </w:p>
    <w:p w:rsidR="008D4AA0" w:rsidRDefault="008D4AA0" w:rsidP="007245DE">
      <w:pPr>
        <w:pStyle w:val="ListParagraph"/>
        <w:spacing w:after="0" w:line="240" w:lineRule="auto"/>
        <w:ind w:left="0"/>
        <w:rPr>
          <w:rFonts w:ascii="Arial" w:hAnsi="Arial" w:cs="Arial"/>
          <w:u w:val="single"/>
        </w:rPr>
      </w:pPr>
    </w:p>
    <w:p w:rsidR="00551D92" w:rsidRPr="005D004B" w:rsidRDefault="00551D92" w:rsidP="007245DE">
      <w:pPr>
        <w:pStyle w:val="ListParagraph"/>
        <w:spacing w:after="0" w:line="240" w:lineRule="auto"/>
        <w:ind w:left="0"/>
        <w:rPr>
          <w:rFonts w:ascii="Arial" w:hAnsi="Arial" w:cs="Arial"/>
          <w:u w:val="single"/>
        </w:rPr>
      </w:pPr>
      <w:r w:rsidRPr="005D004B">
        <w:rPr>
          <w:rFonts w:ascii="Arial" w:hAnsi="Arial" w:cs="Arial"/>
          <w:u w:val="single"/>
        </w:rPr>
        <w:t>Looking forward</w:t>
      </w:r>
    </w:p>
    <w:p w:rsidR="00551D92" w:rsidRDefault="00551D92" w:rsidP="007245DE">
      <w:pPr>
        <w:pStyle w:val="ListParagraph"/>
        <w:spacing w:after="0" w:line="240" w:lineRule="auto"/>
        <w:ind w:left="0"/>
        <w:rPr>
          <w:rFonts w:ascii="Arial" w:hAnsi="Arial" w:cs="Arial"/>
        </w:rPr>
      </w:pPr>
    </w:p>
    <w:p w:rsidR="005A092D" w:rsidRDefault="007E79C7" w:rsidP="000018E2">
      <w:pPr>
        <w:pStyle w:val="ListParagraph"/>
        <w:numPr>
          <w:ilvl w:val="1"/>
          <w:numId w:val="17"/>
        </w:numPr>
        <w:spacing w:after="0" w:line="240" w:lineRule="auto"/>
        <w:ind w:left="284"/>
        <w:rPr>
          <w:rFonts w:ascii="Arial" w:hAnsi="Arial" w:cs="Arial"/>
        </w:rPr>
      </w:pPr>
      <w:r w:rsidRPr="00521E7C">
        <w:rPr>
          <w:rFonts w:ascii="Arial" w:hAnsi="Arial" w:cs="Arial"/>
        </w:rPr>
        <w:t xml:space="preserve">In additional to engaging specific partners to understand the future operating landscape and identify priorities to be included in the refreshed Strategy, a Task and Finish Group will be established to help drive forward </w:t>
      </w:r>
      <w:r w:rsidR="00521E7C" w:rsidRPr="00521E7C">
        <w:rPr>
          <w:rFonts w:ascii="Arial" w:hAnsi="Arial" w:cs="Arial"/>
        </w:rPr>
        <w:t>and inform the refresh exercise by:</w:t>
      </w:r>
    </w:p>
    <w:p w:rsidR="00521E7C" w:rsidRDefault="00521E7C" w:rsidP="00521E7C">
      <w:pPr>
        <w:pStyle w:val="ListParagraph"/>
        <w:numPr>
          <w:ilvl w:val="0"/>
          <w:numId w:val="19"/>
        </w:numPr>
        <w:spacing w:after="0" w:line="240" w:lineRule="auto"/>
        <w:rPr>
          <w:rFonts w:ascii="Arial" w:hAnsi="Arial" w:cs="Arial"/>
        </w:rPr>
      </w:pPr>
      <w:r>
        <w:rPr>
          <w:rFonts w:ascii="Arial" w:hAnsi="Arial" w:cs="Arial"/>
        </w:rPr>
        <w:t>Finalising the refreshed Health and Wellbeing Strategy framework and establishing potential priorities that are agreed by system partners and subject to public consultation.</w:t>
      </w:r>
    </w:p>
    <w:p w:rsidR="00521E7C" w:rsidRDefault="00521E7C" w:rsidP="00521E7C">
      <w:pPr>
        <w:pStyle w:val="ListParagraph"/>
        <w:numPr>
          <w:ilvl w:val="0"/>
          <w:numId w:val="19"/>
        </w:numPr>
        <w:spacing w:after="0" w:line="240" w:lineRule="auto"/>
        <w:rPr>
          <w:rFonts w:ascii="Arial" w:hAnsi="Arial" w:cs="Arial"/>
        </w:rPr>
      </w:pPr>
      <w:r>
        <w:rPr>
          <w:rFonts w:ascii="Arial" w:hAnsi="Arial" w:cs="Arial"/>
        </w:rPr>
        <w:t>Considering and refining the proposed governance structure for providing oversight of and reporting against agreed health and wellbeing strategy priorities.</w:t>
      </w:r>
    </w:p>
    <w:p w:rsidR="00521E7C" w:rsidRDefault="00521E7C" w:rsidP="00521E7C">
      <w:pPr>
        <w:pStyle w:val="ListParagraph"/>
        <w:numPr>
          <w:ilvl w:val="0"/>
          <w:numId w:val="19"/>
        </w:numPr>
        <w:spacing w:after="0" w:line="240" w:lineRule="auto"/>
        <w:rPr>
          <w:rFonts w:ascii="Arial" w:hAnsi="Arial" w:cs="Arial"/>
        </w:rPr>
      </w:pPr>
      <w:r>
        <w:rPr>
          <w:rFonts w:ascii="Arial" w:hAnsi="Arial" w:cs="Arial"/>
        </w:rPr>
        <w:t>Creating a communication activity plan to underpin the Communication Strategy and necessary support materials such as the online and hard copy consultation documents, press releases and promotional material to stimulate interest and engagement in the consultation exercise.</w:t>
      </w:r>
    </w:p>
    <w:p w:rsidR="00521E7C" w:rsidRDefault="00521E7C" w:rsidP="00521E7C">
      <w:pPr>
        <w:pStyle w:val="ListParagraph"/>
        <w:numPr>
          <w:ilvl w:val="0"/>
          <w:numId w:val="19"/>
        </w:numPr>
        <w:spacing w:after="0" w:line="240" w:lineRule="auto"/>
        <w:rPr>
          <w:rFonts w:ascii="Arial" w:hAnsi="Arial" w:cs="Arial"/>
        </w:rPr>
      </w:pPr>
      <w:r>
        <w:rPr>
          <w:rFonts w:ascii="Arial" w:hAnsi="Arial" w:cs="Arial"/>
        </w:rPr>
        <w:t>Supporting the delivery of the public consultation exercise</w:t>
      </w:r>
    </w:p>
    <w:p w:rsidR="00521E7C" w:rsidRDefault="00521E7C" w:rsidP="00521E7C">
      <w:pPr>
        <w:pStyle w:val="ListParagraph"/>
        <w:numPr>
          <w:ilvl w:val="0"/>
          <w:numId w:val="19"/>
        </w:numPr>
        <w:spacing w:after="0" w:line="240" w:lineRule="auto"/>
        <w:rPr>
          <w:rFonts w:ascii="Arial" w:hAnsi="Arial" w:cs="Arial"/>
        </w:rPr>
      </w:pPr>
      <w:r>
        <w:rPr>
          <w:rFonts w:ascii="Arial" w:hAnsi="Arial" w:cs="Arial"/>
        </w:rPr>
        <w:t>Leading the development of the refreshed Strategy which reflects feedback received from the people of Thurrock.</w:t>
      </w:r>
    </w:p>
    <w:p w:rsidR="00521E7C" w:rsidRDefault="00521E7C" w:rsidP="00521E7C">
      <w:pPr>
        <w:pStyle w:val="ListParagraph"/>
        <w:spacing w:after="0" w:line="240" w:lineRule="auto"/>
        <w:ind w:left="284"/>
        <w:rPr>
          <w:rFonts w:ascii="Arial" w:hAnsi="Arial" w:cs="Arial"/>
        </w:rPr>
      </w:pPr>
    </w:p>
    <w:p w:rsidR="00521E7C" w:rsidRDefault="00521E7C" w:rsidP="00D15FD4">
      <w:pPr>
        <w:pStyle w:val="ListParagraph"/>
        <w:numPr>
          <w:ilvl w:val="1"/>
          <w:numId w:val="17"/>
        </w:numPr>
        <w:spacing w:after="0" w:line="240" w:lineRule="auto"/>
        <w:ind w:left="284"/>
        <w:rPr>
          <w:rFonts w:ascii="Arial" w:hAnsi="Arial" w:cs="Arial"/>
        </w:rPr>
      </w:pPr>
      <w:r>
        <w:rPr>
          <w:rFonts w:ascii="Arial" w:hAnsi="Arial" w:cs="Arial"/>
        </w:rPr>
        <w:t xml:space="preserve">A public consultation exercise comprising face to face and online </w:t>
      </w:r>
      <w:r w:rsidR="007344E2">
        <w:rPr>
          <w:rFonts w:ascii="Arial" w:hAnsi="Arial" w:cs="Arial"/>
        </w:rPr>
        <w:t>activities</w:t>
      </w:r>
      <w:r>
        <w:rPr>
          <w:rFonts w:ascii="Arial" w:hAnsi="Arial" w:cs="Arial"/>
        </w:rPr>
        <w:t xml:space="preserve"> will be delivered in early 2021.</w:t>
      </w:r>
    </w:p>
    <w:p w:rsidR="00521E7C" w:rsidRDefault="00521E7C" w:rsidP="00521E7C">
      <w:pPr>
        <w:pStyle w:val="ListParagraph"/>
        <w:rPr>
          <w:rFonts w:ascii="Arial" w:hAnsi="Arial" w:cs="Arial"/>
        </w:rPr>
      </w:pPr>
    </w:p>
    <w:p w:rsidR="00D15FD4" w:rsidRPr="00717752" w:rsidRDefault="00521E7C" w:rsidP="00D15FD4">
      <w:pPr>
        <w:pStyle w:val="ListParagraph"/>
        <w:numPr>
          <w:ilvl w:val="1"/>
          <w:numId w:val="17"/>
        </w:numPr>
        <w:spacing w:after="0" w:line="240" w:lineRule="auto"/>
        <w:ind w:left="284"/>
        <w:rPr>
          <w:rFonts w:ascii="Arial" w:hAnsi="Arial" w:cs="Arial"/>
        </w:rPr>
      </w:pPr>
      <w:r>
        <w:rPr>
          <w:rFonts w:ascii="Arial" w:hAnsi="Arial" w:cs="Arial"/>
        </w:rPr>
        <w:t>A refreshed Health and Wellbeing Strategy will be launched by July 2021.</w:t>
      </w:r>
    </w:p>
    <w:p w:rsidR="00D15FD4" w:rsidRDefault="00D15FD4" w:rsidP="007245DE">
      <w:pPr>
        <w:ind w:left="720" w:hanging="720"/>
        <w:rPr>
          <w:rFonts w:ascii="Arial" w:hAnsi="Arial" w:cs="Arial"/>
          <w:b/>
          <w:bCs/>
          <w:sz w:val="22"/>
          <w:szCs w:val="22"/>
        </w:rPr>
      </w:pPr>
    </w:p>
    <w:p w:rsidR="00BD11F3" w:rsidRPr="00717752" w:rsidRDefault="00D15FD4" w:rsidP="007245DE">
      <w:pPr>
        <w:ind w:left="720" w:hanging="720"/>
        <w:rPr>
          <w:rFonts w:ascii="Arial" w:hAnsi="Arial" w:cs="Arial"/>
          <w:b/>
          <w:bCs/>
          <w:sz w:val="22"/>
          <w:szCs w:val="22"/>
        </w:rPr>
      </w:pPr>
      <w:r>
        <w:rPr>
          <w:rFonts w:ascii="Arial" w:hAnsi="Arial" w:cs="Arial"/>
          <w:b/>
          <w:bCs/>
          <w:sz w:val="22"/>
          <w:szCs w:val="22"/>
        </w:rPr>
        <w:t>6</w:t>
      </w:r>
      <w:r w:rsidR="00BD11F3" w:rsidRPr="00717752">
        <w:rPr>
          <w:rFonts w:ascii="Arial" w:hAnsi="Arial" w:cs="Arial"/>
          <w:b/>
          <w:bCs/>
          <w:sz w:val="22"/>
          <w:szCs w:val="22"/>
        </w:rPr>
        <w:t>.</w:t>
      </w:r>
      <w:r w:rsidR="00BD11F3" w:rsidRPr="00717752">
        <w:rPr>
          <w:rFonts w:ascii="Arial" w:hAnsi="Arial" w:cs="Arial"/>
          <w:b/>
          <w:bCs/>
          <w:sz w:val="22"/>
          <w:szCs w:val="22"/>
        </w:rPr>
        <w:tab/>
      </w:r>
      <w:r w:rsidR="007D4918" w:rsidRPr="00717752">
        <w:rPr>
          <w:rFonts w:ascii="Arial" w:hAnsi="Arial" w:cs="Arial"/>
          <w:b/>
          <w:sz w:val="22"/>
          <w:szCs w:val="22"/>
        </w:rPr>
        <w:t>Reasons for Recommendation</w:t>
      </w:r>
    </w:p>
    <w:p w:rsidR="00BD11F3" w:rsidRPr="00717752" w:rsidRDefault="00BD11F3" w:rsidP="007245DE">
      <w:pPr>
        <w:ind w:left="720" w:hanging="720"/>
        <w:rPr>
          <w:rFonts w:ascii="Arial" w:hAnsi="Arial" w:cs="Arial"/>
          <w:sz w:val="22"/>
          <w:szCs w:val="22"/>
        </w:rPr>
      </w:pPr>
    </w:p>
    <w:p w:rsidR="000D66F4" w:rsidRDefault="00D15FD4" w:rsidP="007245DE">
      <w:pPr>
        <w:rPr>
          <w:rFonts w:ascii="Arial" w:hAnsi="Arial" w:cs="Arial"/>
          <w:sz w:val="22"/>
          <w:szCs w:val="22"/>
        </w:rPr>
      </w:pPr>
      <w:r>
        <w:rPr>
          <w:rFonts w:ascii="Arial" w:hAnsi="Arial" w:cs="Arial"/>
          <w:sz w:val="22"/>
          <w:szCs w:val="22"/>
        </w:rPr>
        <w:t>6</w:t>
      </w:r>
      <w:r w:rsidR="00BD11F3" w:rsidRPr="00717752">
        <w:rPr>
          <w:rFonts w:ascii="Arial" w:hAnsi="Arial" w:cs="Arial"/>
          <w:sz w:val="22"/>
          <w:szCs w:val="22"/>
        </w:rPr>
        <w:t>.1</w:t>
      </w:r>
      <w:r w:rsidR="00BD11F3" w:rsidRPr="00717752">
        <w:rPr>
          <w:rFonts w:ascii="Arial" w:hAnsi="Arial" w:cs="Arial"/>
          <w:sz w:val="22"/>
          <w:szCs w:val="22"/>
        </w:rPr>
        <w:tab/>
      </w:r>
      <w:r w:rsidR="000D66F4" w:rsidRPr="00717752">
        <w:rPr>
          <w:rFonts w:ascii="Arial" w:hAnsi="Arial" w:cs="Arial"/>
          <w:sz w:val="22"/>
          <w:szCs w:val="22"/>
        </w:rPr>
        <w:t>Refreshing the Strategy will:</w:t>
      </w:r>
    </w:p>
    <w:p w:rsidR="00FC33D4" w:rsidRDefault="00FC33D4" w:rsidP="007245DE">
      <w:pPr>
        <w:rPr>
          <w:rFonts w:ascii="Arial" w:hAnsi="Arial" w:cs="Arial"/>
          <w:sz w:val="22"/>
          <w:szCs w:val="22"/>
        </w:rPr>
      </w:pPr>
    </w:p>
    <w:p w:rsidR="00FC33D4" w:rsidRPr="008C1329" w:rsidRDefault="00FC33D4" w:rsidP="00FC33D4">
      <w:pPr>
        <w:pStyle w:val="ListParagraph"/>
        <w:numPr>
          <w:ilvl w:val="1"/>
          <w:numId w:val="20"/>
        </w:numPr>
        <w:spacing w:after="0" w:line="240" w:lineRule="auto"/>
        <w:rPr>
          <w:rFonts w:ascii="Arial" w:hAnsi="Arial" w:cs="Arial"/>
        </w:rPr>
      </w:pPr>
      <w:r w:rsidRPr="008C1329">
        <w:rPr>
          <w:rFonts w:ascii="Arial" w:hAnsi="Arial" w:cs="Arial"/>
        </w:rPr>
        <w:t>Build on the current Strategy and focus more widely on the key determinants of health.</w:t>
      </w:r>
    </w:p>
    <w:p w:rsidR="00FC33D4" w:rsidRPr="008C1329" w:rsidRDefault="00FC33D4" w:rsidP="00FC33D4">
      <w:pPr>
        <w:pStyle w:val="ListParagraph"/>
        <w:numPr>
          <w:ilvl w:val="1"/>
          <w:numId w:val="20"/>
        </w:numPr>
        <w:spacing w:after="0" w:line="240" w:lineRule="auto"/>
        <w:rPr>
          <w:rFonts w:ascii="Arial" w:hAnsi="Arial" w:cs="Arial"/>
        </w:rPr>
      </w:pPr>
      <w:r w:rsidRPr="008C1329">
        <w:rPr>
          <w:rFonts w:ascii="Arial" w:hAnsi="Arial" w:cs="Arial"/>
        </w:rPr>
        <w:t xml:space="preserve">Continue to comprise priorities that focus on population health management as well as more targeted health and wellbeing priorities.  </w:t>
      </w:r>
    </w:p>
    <w:p w:rsidR="00FC33D4" w:rsidRPr="008C1329" w:rsidRDefault="00FC33D4" w:rsidP="00FC33D4">
      <w:pPr>
        <w:pStyle w:val="ListParagraph"/>
        <w:numPr>
          <w:ilvl w:val="1"/>
          <w:numId w:val="20"/>
        </w:numPr>
        <w:spacing w:after="0" w:line="240" w:lineRule="auto"/>
        <w:rPr>
          <w:rFonts w:ascii="Arial" w:hAnsi="Arial" w:cs="Arial"/>
        </w:rPr>
      </w:pPr>
      <w:r w:rsidRPr="008C1329">
        <w:rPr>
          <w:rFonts w:ascii="Arial" w:hAnsi="Arial" w:cs="Arial"/>
        </w:rPr>
        <w:t>Reflect changes in the health landscape and the planning and commissioning o</w:t>
      </w:r>
      <w:r>
        <w:rPr>
          <w:rFonts w:ascii="Arial" w:hAnsi="Arial" w:cs="Arial"/>
        </w:rPr>
        <w:t>f services and support at system and</w:t>
      </w:r>
      <w:r w:rsidRPr="008C1329">
        <w:rPr>
          <w:rFonts w:ascii="Arial" w:hAnsi="Arial" w:cs="Arial"/>
        </w:rPr>
        <w:t xml:space="preserve"> place levels. </w:t>
      </w:r>
      <w:r>
        <w:rPr>
          <w:rFonts w:ascii="Arial" w:hAnsi="Arial" w:cs="Arial"/>
        </w:rPr>
        <w:t>The refreshed Strategy will support locking in service design and commissioning at Place level and reinforcing the Mid and South Essex system partner MOU</w:t>
      </w:r>
    </w:p>
    <w:p w:rsidR="00FC33D4" w:rsidRPr="008C1329" w:rsidRDefault="00FC33D4" w:rsidP="00FC33D4">
      <w:pPr>
        <w:pStyle w:val="ListParagraph"/>
        <w:numPr>
          <w:ilvl w:val="1"/>
          <w:numId w:val="20"/>
        </w:numPr>
        <w:spacing w:after="0" w:line="240" w:lineRule="auto"/>
        <w:rPr>
          <w:rFonts w:ascii="Arial" w:hAnsi="Arial" w:cs="Arial"/>
        </w:rPr>
      </w:pPr>
      <w:r w:rsidRPr="008C1329">
        <w:rPr>
          <w:rFonts w:ascii="Arial" w:hAnsi="Arial" w:cs="Arial"/>
        </w:rPr>
        <w:t xml:space="preserve">Address changes in future operational models and approaches and lessons learned from the COVID-19 Pandemic.  </w:t>
      </w:r>
    </w:p>
    <w:p w:rsidR="00FC33D4" w:rsidRPr="008C1329" w:rsidRDefault="00FC33D4" w:rsidP="00FC33D4">
      <w:pPr>
        <w:pStyle w:val="ListParagraph"/>
        <w:numPr>
          <w:ilvl w:val="1"/>
          <w:numId w:val="20"/>
        </w:numPr>
        <w:spacing w:after="0" w:line="240" w:lineRule="auto"/>
        <w:rPr>
          <w:rFonts w:ascii="Arial" w:hAnsi="Arial" w:cs="Arial"/>
        </w:rPr>
      </w:pPr>
      <w:r>
        <w:rPr>
          <w:rFonts w:ascii="Arial" w:hAnsi="Arial" w:cs="Arial"/>
        </w:rPr>
        <w:t>Create</w:t>
      </w:r>
      <w:r w:rsidRPr="008C1329">
        <w:rPr>
          <w:rFonts w:ascii="Arial" w:hAnsi="Arial" w:cs="Arial"/>
        </w:rPr>
        <w:t xml:space="preserve"> a framework that is flexible enough to respond to future health and care challenges</w:t>
      </w:r>
      <w:r>
        <w:rPr>
          <w:rFonts w:ascii="Arial" w:hAnsi="Arial" w:cs="Arial"/>
        </w:rPr>
        <w:t>, ensuring the five year strategy remains fit for purpose</w:t>
      </w:r>
      <w:r w:rsidRPr="008C1329">
        <w:rPr>
          <w:rFonts w:ascii="Arial" w:hAnsi="Arial" w:cs="Arial"/>
        </w:rPr>
        <w:t xml:space="preserve">. </w:t>
      </w:r>
    </w:p>
    <w:p w:rsidR="00FC33D4" w:rsidRPr="00717752" w:rsidRDefault="00FC33D4" w:rsidP="00FC33D4">
      <w:pPr>
        <w:pStyle w:val="ListParagraph"/>
        <w:numPr>
          <w:ilvl w:val="1"/>
          <w:numId w:val="20"/>
        </w:numPr>
        <w:spacing w:after="0" w:line="240" w:lineRule="auto"/>
        <w:rPr>
          <w:rFonts w:ascii="Arial" w:hAnsi="Arial" w:cs="Arial"/>
        </w:rPr>
      </w:pPr>
      <w:r w:rsidRPr="00717752">
        <w:rPr>
          <w:rFonts w:ascii="Arial" w:hAnsi="Arial" w:cs="Arial"/>
        </w:rPr>
        <w:t>Provide an opportunity to review the outcome framework and agree an approach for monitoring the implementation of the refreshed Strategy and achievement of improved outcomes and key performance indicators; and</w:t>
      </w:r>
    </w:p>
    <w:p w:rsidR="00FC33D4" w:rsidRPr="00F950E6" w:rsidRDefault="00FC33D4" w:rsidP="00FC33D4">
      <w:pPr>
        <w:pStyle w:val="ListParagraph"/>
        <w:numPr>
          <w:ilvl w:val="1"/>
          <w:numId w:val="20"/>
        </w:numPr>
        <w:spacing w:after="0" w:line="240" w:lineRule="auto"/>
        <w:rPr>
          <w:rFonts w:ascii="Arial" w:hAnsi="Arial" w:cs="Arial"/>
        </w:rPr>
      </w:pPr>
      <w:r w:rsidRPr="00F950E6">
        <w:rPr>
          <w:rFonts w:ascii="Arial" w:hAnsi="Arial" w:cs="Arial"/>
        </w:rPr>
        <w:t xml:space="preserve">Review and improve Governance arrangements for the Strategy and </w:t>
      </w:r>
      <w:r>
        <w:rPr>
          <w:rFonts w:ascii="Arial" w:hAnsi="Arial" w:cs="Arial"/>
        </w:rPr>
        <w:t>c</w:t>
      </w:r>
      <w:r w:rsidRPr="00F950E6">
        <w:rPr>
          <w:rFonts w:ascii="Arial" w:hAnsi="Arial" w:cs="Arial"/>
        </w:rPr>
        <w:t xml:space="preserve">onsider resources necessary to oversee the Strategy, ensuring regular activity and reporting against key deliverables and commitments is maintained. </w:t>
      </w:r>
    </w:p>
    <w:p w:rsidR="00FC33D4" w:rsidRDefault="00FC33D4" w:rsidP="007245DE">
      <w:pPr>
        <w:ind w:left="720" w:hanging="720"/>
        <w:rPr>
          <w:rFonts w:ascii="Arial" w:hAnsi="Arial" w:cs="Arial"/>
          <w:b/>
          <w:bCs/>
          <w:sz w:val="22"/>
          <w:szCs w:val="22"/>
        </w:rPr>
      </w:pPr>
    </w:p>
    <w:p w:rsidR="00406C93" w:rsidRPr="00717752" w:rsidRDefault="00D15FD4" w:rsidP="007245DE">
      <w:pPr>
        <w:ind w:left="720" w:hanging="720"/>
        <w:rPr>
          <w:rFonts w:ascii="Arial" w:hAnsi="Arial" w:cs="Arial"/>
          <w:b/>
          <w:bCs/>
          <w:sz w:val="22"/>
          <w:szCs w:val="22"/>
        </w:rPr>
      </w:pPr>
      <w:r>
        <w:rPr>
          <w:rFonts w:ascii="Arial" w:hAnsi="Arial" w:cs="Arial"/>
          <w:b/>
          <w:bCs/>
          <w:sz w:val="22"/>
          <w:szCs w:val="22"/>
        </w:rPr>
        <w:t>7</w:t>
      </w:r>
      <w:r w:rsidR="00406C93" w:rsidRPr="00717752">
        <w:rPr>
          <w:rFonts w:ascii="Arial" w:hAnsi="Arial" w:cs="Arial"/>
          <w:b/>
          <w:bCs/>
          <w:sz w:val="22"/>
          <w:szCs w:val="22"/>
        </w:rPr>
        <w:t>.</w:t>
      </w:r>
      <w:r w:rsidR="00406C93" w:rsidRPr="00717752">
        <w:rPr>
          <w:rFonts w:ascii="Arial" w:hAnsi="Arial" w:cs="Arial"/>
          <w:b/>
          <w:bCs/>
          <w:sz w:val="22"/>
          <w:szCs w:val="22"/>
        </w:rPr>
        <w:tab/>
      </w:r>
      <w:r w:rsidR="007D4918" w:rsidRPr="00717752">
        <w:rPr>
          <w:rFonts w:ascii="Arial" w:hAnsi="Arial" w:cs="Arial"/>
          <w:b/>
          <w:sz w:val="22"/>
          <w:szCs w:val="22"/>
        </w:rPr>
        <w:t xml:space="preserve">Consultation </w:t>
      </w:r>
      <w:r w:rsidR="007D4918" w:rsidRPr="00717752">
        <w:rPr>
          <w:rFonts w:ascii="Arial" w:hAnsi="Arial" w:cs="Arial"/>
          <w:b/>
          <w:bCs/>
          <w:sz w:val="22"/>
          <w:szCs w:val="22"/>
        </w:rPr>
        <w:t>(including Overview and Scrutiny, if applicable)</w:t>
      </w:r>
    </w:p>
    <w:p w:rsidR="00406C93" w:rsidRPr="00717752" w:rsidRDefault="00406C93" w:rsidP="007245DE">
      <w:pPr>
        <w:pStyle w:val="Header"/>
        <w:tabs>
          <w:tab w:val="clear" w:pos="4153"/>
          <w:tab w:val="clear" w:pos="8306"/>
        </w:tabs>
        <w:rPr>
          <w:rFonts w:ascii="Arial" w:hAnsi="Arial" w:cs="Arial"/>
          <w:sz w:val="22"/>
          <w:szCs w:val="22"/>
        </w:rPr>
      </w:pPr>
    </w:p>
    <w:p w:rsidR="00624EA8" w:rsidRPr="00B824C1" w:rsidRDefault="00D15FD4" w:rsidP="00584F5E">
      <w:pPr>
        <w:pStyle w:val="ListParagraph"/>
        <w:spacing w:after="0" w:line="240" w:lineRule="auto"/>
        <w:ind w:left="709" w:hanging="709"/>
        <w:rPr>
          <w:rFonts w:ascii="Arial" w:hAnsi="Arial" w:cs="Arial"/>
        </w:rPr>
      </w:pPr>
      <w:r w:rsidRPr="00B824C1">
        <w:rPr>
          <w:rFonts w:ascii="Arial" w:hAnsi="Arial" w:cs="Arial"/>
        </w:rPr>
        <w:t>7</w:t>
      </w:r>
      <w:r w:rsidR="00624EA8" w:rsidRPr="00B824C1">
        <w:rPr>
          <w:rFonts w:ascii="Arial" w:hAnsi="Arial" w:cs="Arial"/>
        </w:rPr>
        <w:t xml:space="preserve">.1      </w:t>
      </w:r>
      <w:r w:rsidR="007344E2" w:rsidRPr="00B824C1">
        <w:rPr>
          <w:rFonts w:ascii="Arial" w:hAnsi="Arial" w:cs="Arial"/>
        </w:rPr>
        <w:t xml:space="preserve">Initial </w:t>
      </w:r>
      <w:r w:rsidR="00624EA8" w:rsidRPr="00B824C1">
        <w:rPr>
          <w:rFonts w:ascii="Arial" w:hAnsi="Arial" w:cs="Arial"/>
        </w:rPr>
        <w:t xml:space="preserve">consultation and engagement has been carried out on the development of the </w:t>
      </w:r>
      <w:r w:rsidR="00B824C1" w:rsidRPr="00B824C1">
        <w:rPr>
          <w:rFonts w:ascii="Arial" w:hAnsi="Arial" w:cs="Arial"/>
        </w:rPr>
        <w:t xml:space="preserve">refreshed strategy framework.  </w:t>
      </w:r>
    </w:p>
    <w:p w:rsidR="00624EA8" w:rsidRPr="00B824C1" w:rsidRDefault="00624EA8" w:rsidP="00BB2041">
      <w:pPr>
        <w:pStyle w:val="ListParagraph"/>
        <w:spacing w:after="0" w:line="240" w:lineRule="auto"/>
        <w:ind w:left="0"/>
        <w:rPr>
          <w:rFonts w:ascii="Arial" w:hAnsi="Arial" w:cs="Arial"/>
        </w:rPr>
      </w:pPr>
    </w:p>
    <w:p w:rsidR="00406C93" w:rsidRPr="00B824C1" w:rsidRDefault="00D15FD4" w:rsidP="00584F5E">
      <w:pPr>
        <w:pStyle w:val="ListParagraph"/>
        <w:spacing w:after="0" w:line="240" w:lineRule="auto"/>
        <w:ind w:left="709" w:hanging="709"/>
        <w:rPr>
          <w:rFonts w:ascii="Arial" w:hAnsi="Arial" w:cs="Arial"/>
        </w:rPr>
      </w:pPr>
      <w:r w:rsidRPr="00B824C1">
        <w:rPr>
          <w:rFonts w:ascii="Arial" w:hAnsi="Arial" w:cs="Arial"/>
        </w:rPr>
        <w:lastRenderedPageBreak/>
        <w:t>7</w:t>
      </w:r>
      <w:r w:rsidR="00624EA8" w:rsidRPr="00B824C1">
        <w:rPr>
          <w:rFonts w:ascii="Arial" w:hAnsi="Arial" w:cs="Arial"/>
        </w:rPr>
        <w:t>.2</w:t>
      </w:r>
      <w:r w:rsidR="00406C93" w:rsidRPr="00B824C1">
        <w:rPr>
          <w:rFonts w:ascii="Arial" w:hAnsi="Arial" w:cs="Arial"/>
        </w:rPr>
        <w:tab/>
      </w:r>
      <w:r w:rsidR="00B824C1" w:rsidRPr="00B824C1">
        <w:rPr>
          <w:rFonts w:ascii="Arial" w:hAnsi="Arial" w:cs="Arial"/>
        </w:rPr>
        <w:t>A task and finish group will be established comprising key strategic partners to help drive forward the strategy refresh</w:t>
      </w:r>
      <w:r w:rsidR="006D674D">
        <w:rPr>
          <w:rFonts w:ascii="Arial" w:hAnsi="Arial" w:cs="Arial"/>
        </w:rPr>
        <w:t>, described within the timeline at Annex A.</w:t>
      </w:r>
      <w:r w:rsidR="00B824C1" w:rsidRPr="00B824C1">
        <w:rPr>
          <w:rFonts w:ascii="Arial" w:hAnsi="Arial" w:cs="Arial"/>
        </w:rPr>
        <w:t>.</w:t>
      </w:r>
    </w:p>
    <w:p w:rsidR="007D4918" w:rsidRPr="00B824C1" w:rsidRDefault="007D4918" w:rsidP="00584F5E">
      <w:pPr>
        <w:pStyle w:val="ListParagraph"/>
        <w:spacing w:after="0" w:line="240" w:lineRule="auto"/>
        <w:ind w:left="709" w:hanging="709"/>
        <w:rPr>
          <w:rFonts w:ascii="Arial" w:hAnsi="Arial" w:cs="Arial"/>
        </w:rPr>
      </w:pPr>
    </w:p>
    <w:p w:rsidR="007D4918" w:rsidRPr="00B824C1" w:rsidRDefault="00D15FD4" w:rsidP="00584F5E">
      <w:pPr>
        <w:pStyle w:val="ListParagraph"/>
        <w:spacing w:after="0" w:line="240" w:lineRule="auto"/>
        <w:ind w:left="709" w:hanging="709"/>
        <w:rPr>
          <w:rFonts w:ascii="Arial" w:hAnsi="Arial" w:cs="Arial"/>
        </w:rPr>
      </w:pPr>
      <w:r w:rsidRPr="00B824C1">
        <w:rPr>
          <w:rFonts w:ascii="Arial" w:hAnsi="Arial" w:cs="Arial"/>
        </w:rPr>
        <w:t>7</w:t>
      </w:r>
      <w:r w:rsidR="00624EA8" w:rsidRPr="00B824C1">
        <w:rPr>
          <w:rFonts w:ascii="Arial" w:hAnsi="Arial" w:cs="Arial"/>
        </w:rPr>
        <w:t>.3</w:t>
      </w:r>
      <w:r w:rsidR="00BB2041" w:rsidRPr="00B824C1">
        <w:rPr>
          <w:rFonts w:ascii="Arial" w:hAnsi="Arial" w:cs="Arial"/>
        </w:rPr>
        <w:t xml:space="preserve">      Communication and engagement activity will be taking place throughout 2020.  A formal consultation period, running for approximately 8 weeks, </w:t>
      </w:r>
      <w:r w:rsidR="00CB128C" w:rsidRPr="00B824C1">
        <w:rPr>
          <w:rFonts w:ascii="Arial" w:hAnsi="Arial" w:cs="Arial"/>
        </w:rPr>
        <w:t>commencing in January 2021.</w:t>
      </w:r>
    </w:p>
    <w:p w:rsidR="00B824C1" w:rsidRDefault="00B824C1" w:rsidP="007245DE">
      <w:pPr>
        <w:ind w:left="720" w:hanging="720"/>
        <w:rPr>
          <w:rFonts w:ascii="Arial" w:hAnsi="Arial" w:cs="Arial"/>
          <w:b/>
          <w:bCs/>
          <w:sz w:val="22"/>
          <w:szCs w:val="22"/>
        </w:rPr>
      </w:pPr>
    </w:p>
    <w:p w:rsidR="00406C93" w:rsidRPr="00717752" w:rsidRDefault="00D15FD4" w:rsidP="007245DE">
      <w:pPr>
        <w:ind w:left="720" w:hanging="720"/>
        <w:rPr>
          <w:rFonts w:ascii="Arial" w:hAnsi="Arial" w:cs="Arial"/>
          <w:sz w:val="22"/>
          <w:szCs w:val="22"/>
        </w:rPr>
      </w:pPr>
      <w:r>
        <w:rPr>
          <w:rFonts w:ascii="Arial" w:hAnsi="Arial" w:cs="Arial"/>
          <w:b/>
          <w:bCs/>
          <w:sz w:val="22"/>
          <w:szCs w:val="22"/>
        </w:rPr>
        <w:t>8</w:t>
      </w:r>
      <w:r w:rsidR="00406C93" w:rsidRPr="00717752">
        <w:rPr>
          <w:rFonts w:ascii="Arial" w:hAnsi="Arial" w:cs="Arial"/>
          <w:b/>
          <w:bCs/>
          <w:sz w:val="22"/>
          <w:szCs w:val="22"/>
        </w:rPr>
        <w:t>.</w:t>
      </w:r>
      <w:r w:rsidR="00406C93" w:rsidRPr="00717752">
        <w:rPr>
          <w:rFonts w:ascii="Arial" w:hAnsi="Arial" w:cs="Arial"/>
          <w:b/>
          <w:bCs/>
          <w:sz w:val="22"/>
          <w:szCs w:val="22"/>
        </w:rPr>
        <w:tab/>
      </w:r>
      <w:r w:rsidR="007D4918" w:rsidRPr="00717752">
        <w:rPr>
          <w:rFonts w:ascii="Arial" w:hAnsi="Arial" w:cs="Arial"/>
          <w:b/>
          <w:bCs/>
          <w:sz w:val="22"/>
          <w:szCs w:val="22"/>
        </w:rPr>
        <w:t>Impact on corporate policies, priorities, performance and community impact</w:t>
      </w:r>
    </w:p>
    <w:p w:rsidR="00406C93" w:rsidRPr="00717752" w:rsidRDefault="00406C93" w:rsidP="007245DE">
      <w:pPr>
        <w:rPr>
          <w:rFonts w:ascii="Arial" w:hAnsi="Arial" w:cs="Arial"/>
          <w:sz w:val="22"/>
          <w:szCs w:val="22"/>
        </w:rPr>
      </w:pPr>
    </w:p>
    <w:p w:rsidR="00624EA8" w:rsidRPr="00717752" w:rsidRDefault="00D15FD4" w:rsidP="00624EA8">
      <w:pPr>
        <w:ind w:left="720" w:hanging="720"/>
        <w:rPr>
          <w:rFonts w:ascii="Arial" w:hAnsi="Arial" w:cs="Arial"/>
          <w:sz w:val="22"/>
          <w:szCs w:val="22"/>
        </w:rPr>
      </w:pPr>
      <w:r>
        <w:rPr>
          <w:rFonts w:ascii="Arial" w:hAnsi="Arial" w:cs="Arial"/>
          <w:sz w:val="22"/>
          <w:szCs w:val="22"/>
        </w:rPr>
        <w:t>8</w:t>
      </w:r>
      <w:r w:rsidR="00406C93" w:rsidRPr="00717752">
        <w:rPr>
          <w:rFonts w:ascii="Arial" w:hAnsi="Arial" w:cs="Arial"/>
          <w:sz w:val="22"/>
          <w:szCs w:val="22"/>
        </w:rPr>
        <w:t>.1</w:t>
      </w:r>
      <w:r w:rsidR="00406C93" w:rsidRPr="00717752">
        <w:rPr>
          <w:rFonts w:ascii="Arial" w:hAnsi="Arial" w:cs="Arial"/>
          <w:sz w:val="22"/>
          <w:szCs w:val="22"/>
        </w:rPr>
        <w:tab/>
      </w:r>
      <w:r w:rsidR="00624EA8" w:rsidRPr="00717752">
        <w:rPr>
          <w:rFonts w:ascii="Arial" w:hAnsi="Arial" w:cs="Arial"/>
          <w:sz w:val="22"/>
          <w:szCs w:val="22"/>
        </w:rPr>
        <w:t>The Strategy will drive the Council’s Health and Wellbeing priorities as set out within the Corporate Plan.  It will also act as the Council’s ‘people’ Strategy and make the necessary connections with the ‘place’ agenda.</w:t>
      </w:r>
    </w:p>
    <w:p w:rsidR="00FC33D4" w:rsidRPr="00717752" w:rsidRDefault="00FC33D4" w:rsidP="007245DE">
      <w:pPr>
        <w:ind w:left="720" w:hanging="720"/>
        <w:rPr>
          <w:rFonts w:ascii="Arial" w:hAnsi="Arial" w:cs="Arial"/>
          <w:sz w:val="22"/>
          <w:szCs w:val="22"/>
        </w:rPr>
      </w:pPr>
    </w:p>
    <w:p w:rsidR="00406C93" w:rsidRPr="00717752" w:rsidRDefault="00D15FD4" w:rsidP="007245DE">
      <w:pPr>
        <w:rPr>
          <w:rFonts w:ascii="Arial" w:hAnsi="Arial" w:cs="Arial"/>
          <w:b/>
          <w:bCs/>
          <w:sz w:val="22"/>
          <w:szCs w:val="22"/>
        </w:rPr>
      </w:pPr>
      <w:r>
        <w:rPr>
          <w:rFonts w:ascii="Arial" w:hAnsi="Arial" w:cs="Arial"/>
          <w:b/>
          <w:bCs/>
          <w:sz w:val="22"/>
          <w:szCs w:val="22"/>
        </w:rPr>
        <w:t>9</w:t>
      </w:r>
      <w:r w:rsidR="00406C93" w:rsidRPr="00717752">
        <w:rPr>
          <w:rFonts w:ascii="Arial" w:hAnsi="Arial" w:cs="Arial"/>
          <w:b/>
          <w:bCs/>
          <w:sz w:val="22"/>
          <w:szCs w:val="22"/>
        </w:rPr>
        <w:t>.</w:t>
      </w:r>
      <w:r w:rsidR="00406C93" w:rsidRPr="00717752">
        <w:rPr>
          <w:rFonts w:ascii="Arial" w:hAnsi="Arial" w:cs="Arial"/>
          <w:b/>
          <w:bCs/>
          <w:sz w:val="22"/>
          <w:szCs w:val="22"/>
        </w:rPr>
        <w:tab/>
      </w:r>
      <w:r w:rsidR="007D4918" w:rsidRPr="00717752">
        <w:rPr>
          <w:rFonts w:ascii="Arial" w:hAnsi="Arial" w:cs="Arial"/>
          <w:b/>
          <w:bCs/>
          <w:sz w:val="22"/>
          <w:szCs w:val="22"/>
        </w:rPr>
        <w:t>Implications</w:t>
      </w:r>
    </w:p>
    <w:p w:rsidR="00406C93" w:rsidRPr="00717752" w:rsidRDefault="00406C93" w:rsidP="00717752">
      <w:pPr>
        <w:pStyle w:val="Header"/>
        <w:tabs>
          <w:tab w:val="clear" w:pos="4153"/>
          <w:tab w:val="clear" w:pos="8306"/>
          <w:tab w:val="left" w:pos="1701"/>
        </w:tabs>
        <w:rPr>
          <w:rFonts w:ascii="Arial" w:hAnsi="Arial" w:cs="Arial"/>
          <w:sz w:val="22"/>
          <w:szCs w:val="22"/>
        </w:rPr>
      </w:pPr>
    </w:p>
    <w:p w:rsidR="00406C93" w:rsidRPr="00717752" w:rsidRDefault="00D15FD4" w:rsidP="007245DE">
      <w:pPr>
        <w:rPr>
          <w:rFonts w:ascii="Arial" w:hAnsi="Arial" w:cs="Arial"/>
          <w:b/>
          <w:bCs/>
          <w:sz w:val="22"/>
          <w:szCs w:val="22"/>
          <w:u w:val="single"/>
        </w:rPr>
      </w:pPr>
      <w:r>
        <w:rPr>
          <w:rFonts w:ascii="Arial" w:hAnsi="Arial" w:cs="Arial"/>
          <w:sz w:val="22"/>
          <w:szCs w:val="22"/>
        </w:rPr>
        <w:t>9</w:t>
      </w:r>
      <w:r w:rsidR="00406C93" w:rsidRPr="00717752">
        <w:rPr>
          <w:rFonts w:ascii="Arial" w:hAnsi="Arial" w:cs="Arial"/>
          <w:sz w:val="22"/>
          <w:szCs w:val="22"/>
        </w:rPr>
        <w:t>.1</w:t>
      </w:r>
      <w:r w:rsidR="00406C93" w:rsidRPr="00717752">
        <w:rPr>
          <w:rFonts w:ascii="Arial" w:hAnsi="Arial" w:cs="Arial"/>
          <w:sz w:val="22"/>
          <w:szCs w:val="22"/>
        </w:rPr>
        <w:tab/>
      </w:r>
      <w:r w:rsidR="00406C93" w:rsidRPr="00717752">
        <w:rPr>
          <w:rFonts w:ascii="Arial" w:hAnsi="Arial" w:cs="Arial"/>
          <w:b/>
          <w:bCs/>
          <w:sz w:val="22"/>
          <w:szCs w:val="22"/>
        </w:rPr>
        <w:t>Financial</w:t>
      </w:r>
    </w:p>
    <w:p w:rsidR="00406C93" w:rsidRPr="00717752" w:rsidRDefault="00406C93" w:rsidP="007245DE">
      <w:pPr>
        <w:ind w:left="1440" w:hanging="720"/>
        <w:rPr>
          <w:rFonts w:ascii="Arial" w:hAnsi="Arial" w:cs="Arial"/>
          <w:sz w:val="22"/>
          <w:szCs w:val="22"/>
        </w:rPr>
      </w:pPr>
    </w:p>
    <w:p w:rsidR="00252476" w:rsidRPr="00717752" w:rsidRDefault="00252476" w:rsidP="00252476">
      <w:pPr>
        <w:ind w:left="3686" w:hanging="2966"/>
        <w:rPr>
          <w:rFonts w:ascii="Arial" w:hAnsi="Arial" w:cs="Arial"/>
          <w:b/>
          <w:bCs/>
          <w:sz w:val="22"/>
          <w:szCs w:val="22"/>
        </w:rPr>
      </w:pPr>
      <w:r w:rsidRPr="00717752">
        <w:rPr>
          <w:rFonts w:ascii="Arial" w:hAnsi="Arial" w:cs="Arial"/>
          <w:sz w:val="22"/>
          <w:szCs w:val="22"/>
        </w:rPr>
        <w:t>Implications verified by:</w:t>
      </w:r>
      <w:r w:rsidRPr="00717752">
        <w:rPr>
          <w:rFonts w:ascii="Arial" w:hAnsi="Arial" w:cs="Arial"/>
          <w:sz w:val="22"/>
          <w:szCs w:val="22"/>
        </w:rPr>
        <w:tab/>
      </w:r>
      <w:r>
        <w:rPr>
          <w:rFonts w:ascii="Arial" w:hAnsi="Arial" w:cs="Arial"/>
          <w:b/>
          <w:bCs/>
          <w:sz w:val="22"/>
          <w:szCs w:val="22"/>
        </w:rPr>
        <w:t>Mike Jones</w:t>
      </w:r>
    </w:p>
    <w:p w:rsidR="00252476" w:rsidRPr="00717752" w:rsidRDefault="00252476" w:rsidP="00252476">
      <w:pPr>
        <w:ind w:left="3686" w:hanging="720"/>
        <w:rPr>
          <w:rFonts w:ascii="Arial" w:hAnsi="Arial" w:cs="Arial"/>
          <w:b/>
          <w:bCs/>
          <w:sz w:val="22"/>
          <w:szCs w:val="22"/>
        </w:rPr>
      </w:pPr>
      <w:r w:rsidRPr="00717752">
        <w:rPr>
          <w:rFonts w:ascii="Arial" w:hAnsi="Arial" w:cs="Arial"/>
          <w:bCs/>
          <w:sz w:val="22"/>
          <w:szCs w:val="22"/>
        </w:rPr>
        <w:tab/>
      </w:r>
      <w:r>
        <w:rPr>
          <w:rFonts w:ascii="Arial" w:hAnsi="Arial" w:cs="Arial"/>
          <w:b/>
          <w:bCs/>
          <w:sz w:val="22"/>
          <w:szCs w:val="22"/>
        </w:rPr>
        <w:t>Strategic Lead – Corporate Finance</w:t>
      </w:r>
    </w:p>
    <w:p w:rsidR="00252476" w:rsidRPr="00717752" w:rsidRDefault="00252476" w:rsidP="00252476">
      <w:pPr>
        <w:ind w:left="1440" w:hanging="720"/>
        <w:rPr>
          <w:rFonts w:ascii="Arial" w:hAnsi="Arial" w:cs="Arial"/>
          <w:sz w:val="22"/>
          <w:szCs w:val="22"/>
        </w:rPr>
      </w:pPr>
    </w:p>
    <w:p w:rsidR="00406C93" w:rsidRPr="00717752" w:rsidRDefault="00D15FD4" w:rsidP="00252476">
      <w:pPr>
        <w:rPr>
          <w:rFonts w:ascii="Arial" w:hAnsi="Arial" w:cs="Arial"/>
          <w:sz w:val="22"/>
          <w:szCs w:val="22"/>
        </w:rPr>
      </w:pPr>
      <w:r>
        <w:rPr>
          <w:rFonts w:ascii="Arial" w:hAnsi="Arial" w:cs="Arial"/>
          <w:sz w:val="22"/>
          <w:szCs w:val="22"/>
        </w:rPr>
        <w:t>9</w:t>
      </w:r>
      <w:r w:rsidR="00252476" w:rsidRPr="00717752">
        <w:rPr>
          <w:rFonts w:ascii="Arial" w:hAnsi="Arial" w:cs="Arial"/>
          <w:sz w:val="22"/>
          <w:szCs w:val="22"/>
        </w:rPr>
        <w:t xml:space="preserve">.2      </w:t>
      </w:r>
      <w:r w:rsidR="00252476">
        <w:rPr>
          <w:rFonts w:ascii="Arial" w:hAnsi="Arial" w:cs="Arial"/>
          <w:sz w:val="22"/>
          <w:szCs w:val="22"/>
        </w:rPr>
        <w:t>The cost associated with the s</w:t>
      </w:r>
      <w:r w:rsidR="00252476" w:rsidRPr="00717752">
        <w:rPr>
          <w:rFonts w:ascii="Arial" w:hAnsi="Arial" w:cs="Arial"/>
          <w:sz w:val="22"/>
          <w:szCs w:val="22"/>
        </w:rPr>
        <w:t>trategy</w:t>
      </w:r>
      <w:r w:rsidR="00252476">
        <w:rPr>
          <w:rFonts w:ascii="Arial" w:hAnsi="Arial" w:cs="Arial"/>
          <w:sz w:val="22"/>
          <w:szCs w:val="22"/>
        </w:rPr>
        <w:t xml:space="preserve"> refresh will </w:t>
      </w:r>
      <w:r w:rsidR="00252476" w:rsidRPr="00717752">
        <w:rPr>
          <w:rFonts w:ascii="Arial" w:hAnsi="Arial" w:cs="Arial"/>
          <w:sz w:val="22"/>
          <w:szCs w:val="22"/>
        </w:rPr>
        <w:t>be delivered within existing budgets</w:t>
      </w:r>
    </w:p>
    <w:p w:rsidR="00252476" w:rsidRDefault="00252476" w:rsidP="007245DE">
      <w:pPr>
        <w:pStyle w:val="Heading2"/>
        <w:keepNext w:val="0"/>
        <w:widowControl w:val="0"/>
        <w:rPr>
          <w:b w:val="0"/>
          <w:bCs w:val="0"/>
          <w:sz w:val="22"/>
          <w:szCs w:val="22"/>
          <w:u w:val="none"/>
        </w:rPr>
      </w:pPr>
    </w:p>
    <w:p w:rsidR="00406C93" w:rsidRPr="00717752" w:rsidRDefault="00D15FD4" w:rsidP="007245DE">
      <w:pPr>
        <w:pStyle w:val="Heading2"/>
        <w:keepNext w:val="0"/>
        <w:widowControl w:val="0"/>
        <w:rPr>
          <w:sz w:val="22"/>
          <w:szCs w:val="22"/>
        </w:rPr>
      </w:pPr>
      <w:r>
        <w:rPr>
          <w:b w:val="0"/>
          <w:bCs w:val="0"/>
          <w:sz w:val="22"/>
          <w:szCs w:val="22"/>
          <w:u w:val="none"/>
        </w:rPr>
        <w:t>9</w:t>
      </w:r>
      <w:r w:rsidR="00406C93" w:rsidRPr="00717752">
        <w:rPr>
          <w:b w:val="0"/>
          <w:bCs w:val="0"/>
          <w:sz w:val="22"/>
          <w:szCs w:val="22"/>
          <w:u w:val="none"/>
        </w:rPr>
        <w:t>.</w:t>
      </w:r>
      <w:r w:rsidR="00624EA8" w:rsidRPr="00717752">
        <w:rPr>
          <w:b w:val="0"/>
          <w:bCs w:val="0"/>
          <w:sz w:val="22"/>
          <w:szCs w:val="22"/>
          <w:u w:val="none"/>
        </w:rPr>
        <w:t>3</w:t>
      </w:r>
      <w:r w:rsidR="00406C93" w:rsidRPr="00717752">
        <w:rPr>
          <w:b w:val="0"/>
          <w:bCs w:val="0"/>
          <w:sz w:val="22"/>
          <w:szCs w:val="22"/>
          <w:u w:val="none"/>
        </w:rPr>
        <w:tab/>
      </w:r>
      <w:r w:rsidR="00406C93" w:rsidRPr="00717752">
        <w:rPr>
          <w:sz w:val="22"/>
          <w:szCs w:val="22"/>
          <w:u w:val="none"/>
        </w:rPr>
        <w:t>Legal</w:t>
      </w:r>
    </w:p>
    <w:p w:rsidR="006B3711" w:rsidRPr="00717752" w:rsidRDefault="006B3711" w:rsidP="007245DE">
      <w:pPr>
        <w:ind w:left="1440" w:hanging="720"/>
        <w:rPr>
          <w:rFonts w:ascii="Arial" w:hAnsi="Arial" w:cs="Arial"/>
          <w:sz w:val="22"/>
          <w:szCs w:val="22"/>
        </w:rPr>
      </w:pPr>
    </w:p>
    <w:p w:rsidR="006B3711" w:rsidRPr="00717752" w:rsidRDefault="006B3711" w:rsidP="007245DE">
      <w:pPr>
        <w:ind w:left="3686" w:hanging="2966"/>
        <w:rPr>
          <w:rFonts w:ascii="Arial" w:hAnsi="Arial" w:cs="Arial"/>
          <w:b/>
          <w:bCs/>
          <w:sz w:val="22"/>
          <w:szCs w:val="22"/>
        </w:rPr>
      </w:pPr>
      <w:r w:rsidRPr="00717752">
        <w:rPr>
          <w:rFonts w:ascii="Arial" w:hAnsi="Arial" w:cs="Arial"/>
          <w:sz w:val="22"/>
          <w:szCs w:val="22"/>
        </w:rPr>
        <w:t>Implications verified by:</w:t>
      </w:r>
      <w:r w:rsidRPr="00717752">
        <w:rPr>
          <w:rFonts w:ascii="Arial" w:hAnsi="Arial" w:cs="Arial"/>
          <w:sz w:val="22"/>
          <w:szCs w:val="22"/>
        </w:rPr>
        <w:tab/>
      </w:r>
    </w:p>
    <w:p w:rsidR="006B3711" w:rsidRPr="00717752" w:rsidRDefault="006B3711" w:rsidP="00541234">
      <w:pPr>
        <w:ind w:left="3686" w:hanging="720"/>
        <w:rPr>
          <w:rFonts w:ascii="Arial" w:hAnsi="Arial" w:cs="Arial"/>
          <w:sz w:val="22"/>
          <w:szCs w:val="22"/>
        </w:rPr>
      </w:pPr>
      <w:r w:rsidRPr="00717752">
        <w:rPr>
          <w:rFonts w:ascii="Arial" w:hAnsi="Arial" w:cs="Arial"/>
          <w:bCs/>
          <w:sz w:val="22"/>
          <w:szCs w:val="22"/>
        </w:rPr>
        <w:tab/>
      </w:r>
    </w:p>
    <w:p w:rsidR="00624EA8" w:rsidRPr="00717752" w:rsidRDefault="00D15FD4" w:rsidP="00624EA8">
      <w:pPr>
        <w:ind w:left="720" w:hanging="720"/>
        <w:rPr>
          <w:rFonts w:ascii="Arial" w:hAnsi="Arial" w:cs="Arial"/>
          <w:sz w:val="22"/>
          <w:szCs w:val="22"/>
        </w:rPr>
      </w:pPr>
      <w:r>
        <w:rPr>
          <w:rFonts w:ascii="Arial" w:hAnsi="Arial" w:cs="Arial"/>
          <w:sz w:val="22"/>
          <w:szCs w:val="22"/>
        </w:rPr>
        <w:t>9</w:t>
      </w:r>
      <w:r w:rsidR="00624EA8" w:rsidRPr="00717752">
        <w:rPr>
          <w:rFonts w:ascii="Arial" w:hAnsi="Arial" w:cs="Arial"/>
          <w:sz w:val="22"/>
          <w:szCs w:val="22"/>
        </w:rPr>
        <w:t>.4      The Health and Social Care Act 2012 established a responsibility for Councils and CCGs to jointly prepare Health and Wellbeing Strategies for the local area as defined by the Health and Wellbeing Board.</w:t>
      </w:r>
    </w:p>
    <w:p w:rsidR="00624EA8" w:rsidRPr="00717752" w:rsidRDefault="00624EA8" w:rsidP="00624EA8">
      <w:pPr>
        <w:ind w:left="709" w:hanging="720"/>
        <w:rPr>
          <w:rFonts w:ascii="Arial" w:hAnsi="Arial" w:cs="Arial"/>
          <w:sz w:val="22"/>
          <w:szCs w:val="22"/>
        </w:rPr>
      </w:pPr>
    </w:p>
    <w:p w:rsidR="00406C93" w:rsidRPr="00717752" w:rsidRDefault="00D15FD4" w:rsidP="007245DE">
      <w:pPr>
        <w:rPr>
          <w:rFonts w:ascii="Arial" w:hAnsi="Arial" w:cs="Arial"/>
          <w:b/>
          <w:bCs/>
          <w:sz w:val="22"/>
          <w:szCs w:val="22"/>
          <w:u w:val="single"/>
        </w:rPr>
      </w:pPr>
      <w:r>
        <w:rPr>
          <w:rFonts w:ascii="Arial" w:hAnsi="Arial" w:cs="Arial"/>
          <w:sz w:val="22"/>
          <w:szCs w:val="22"/>
        </w:rPr>
        <w:t>9</w:t>
      </w:r>
      <w:r w:rsidR="00624EA8" w:rsidRPr="00717752">
        <w:rPr>
          <w:rFonts w:ascii="Arial" w:hAnsi="Arial" w:cs="Arial"/>
          <w:sz w:val="22"/>
          <w:szCs w:val="22"/>
        </w:rPr>
        <w:t>.5</w:t>
      </w:r>
      <w:r w:rsidR="00406C93" w:rsidRPr="00717752">
        <w:rPr>
          <w:rFonts w:ascii="Arial" w:hAnsi="Arial" w:cs="Arial"/>
          <w:sz w:val="22"/>
          <w:szCs w:val="22"/>
        </w:rPr>
        <w:tab/>
      </w:r>
      <w:r w:rsidR="00406C93" w:rsidRPr="00717752">
        <w:rPr>
          <w:rFonts w:ascii="Arial" w:hAnsi="Arial" w:cs="Arial"/>
          <w:b/>
          <w:bCs/>
          <w:sz w:val="22"/>
          <w:szCs w:val="22"/>
        </w:rPr>
        <w:t>Diversity and Equality</w:t>
      </w:r>
    </w:p>
    <w:p w:rsidR="006B3711" w:rsidRPr="00717752" w:rsidRDefault="006B3711" w:rsidP="007245DE">
      <w:pPr>
        <w:ind w:left="1440" w:hanging="720"/>
        <w:rPr>
          <w:rFonts w:ascii="Arial" w:hAnsi="Arial" w:cs="Arial"/>
          <w:sz w:val="22"/>
          <w:szCs w:val="22"/>
        </w:rPr>
      </w:pPr>
    </w:p>
    <w:p w:rsidR="00541234" w:rsidRPr="00541234" w:rsidRDefault="006B3711" w:rsidP="00541234">
      <w:pPr>
        <w:ind w:left="709"/>
        <w:rPr>
          <w:rFonts w:ascii="Arial" w:hAnsi="Arial" w:cs="Arial"/>
          <w:b/>
          <w:bCs/>
          <w:sz w:val="22"/>
          <w:szCs w:val="22"/>
        </w:rPr>
      </w:pPr>
      <w:r w:rsidRPr="00717752">
        <w:rPr>
          <w:rFonts w:ascii="Arial" w:hAnsi="Arial" w:cs="Arial"/>
          <w:sz w:val="22"/>
          <w:szCs w:val="22"/>
        </w:rPr>
        <w:t>Implications verified by:</w:t>
      </w:r>
      <w:r w:rsidRPr="00717752">
        <w:rPr>
          <w:rFonts w:ascii="Arial" w:hAnsi="Arial" w:cs="Arial"/>
          <w:sz w:val="22"/>
          <w:szCs w:val="22"/>
        </w:rPr>
        <w:tab/>
      </w:r>
      <w:r w:rsidR="00541234">
        <w:rPr>
          <w:rFonts w:ascii="Arial" w:hAnsi="Arial" w:cs="Arial"/>
          <w:b/>
          <w:bCs/>
          <w:sz w:val="22"/>
          <w:szCs w:val="22"/>
        </w:rPr>
        <w:t xml:space="preserve">Natalie Smith, </w:t>
      </w:r>
      <w:r w:rsidR="00541234" w:rsidRPr="00541234">
        <w:rPr>
          <w:rFonts w:ascii="Arial" w:hAnsi="Arial" w:cs="Arial"/>
          <w:b/>
          <w:bCs/>
          <w:sz w:val="22"/>
          <w:szCs w:val="22"/>
        </w:rPr>
        <w:t xml:space="preserve">Strategic Lead: Community Development and Equalities </w:t>
      </w:r>
    </w:p>
    <w:p w:rsidR="006B3711" w:rsidRPr="00717752" w:rsidRDefault="006B3711" w:rsidP="007245DE">
      <w:pPr>
        <w:ind w:left="1440" w:hanging="720"/>
        <w:rPr>
          <w:rFonts w:ascii="Arial" w:hAnsi="Arial" w:cs="Arial"/>
          <w:sz w:val="22"/>
          <w:szCs w:val="22"/>
        </w:rPr>
      </w:pPr>
    </w:p>
    <w:p w:rsidR="008D1EFA" w:rsidRPr="00717752" w:rsidRDefault="00D15FD4" w:rsidP="008D1EFA">
      <w:pPr>
        <w:ind w:left="720" w:hanging="720"/>
        <w:rPr>
          <w:rFonts w:ascii="Arial" w:hAnsi="Arial" w:cs="Arial"/>
          <w:sz w:val="22"/>
          <w:szCs w:val="22"/>
        </w:rPr>
      </w:pPr>
      <w:r>
        <w:rPr>
          <w:rFonts w:ascii="Arial" w:hAnsi="Arial" w:cs="Arial"/>
          <w:sz w:val="22"/>
          <w:szCs w:val="22"/>
        </w:rPr>
        <w:t>9</w:t>
      </w:r>
      <w:r w:rsidR="00624EA8" w:rsidRPr="00717752">
        <w:rPr>
          <w:rFonts w:ascii="Arial" w:hAnsi="Arial" w:cs="Arial"/>
          <w:sz w:val="22"/>
          <w:szCs w:val="22"/>
        </w:rPr>
        <w:t xml:space="preserve">.6  </w:t>
      </w:r>
      <w:r w:rsidR="008D1EFA" w:rsidRPr="00717752">
        <w:rPr>
          <w:rFonts w:ascii="Arial" w:hAnsi="Arial" w:cs="Arial"/>
          <w:sz w:val="22"/>
          <w:szCs w:val="22"/>
        </w:rPr>
        <w:t xml:space="preserve">    The aim of the Strategy is to improve the health and wellbeing of the population of Thurrock.  Doing so will mean reducing inequalities in health and wellbeing.</w:t>
      </w:r>
    </w:p>
    <w:p w:rsidR="00406C93" w:rsidRPr="00717752" w:rsidRDefault="008D1EFA" w:rsidP="007245DE">
      <w:pPr>
        <w:ind w:left="720"/>
        <w:rPr>
          <w:rFonts w:ascii="Arial" w:hAnsi="Arial" w:cs="Arial"/>
          <w:sz w:val="22"/>
          <w:szCs w:val="22"/>
        </w:rPr>
      </w:pPr>
      <w:r w:rsidRPr="00717752">
        <w:rPr>
          <w:rFonts w:ascii="Arial" w:hAnsi="Arial" w:cs="Arial"/>
          <w:sz w:val="22"/>
          <w:szCs w:val="22"/>
        </w:rPr>
        <w:t xml:space="preserve"> </w:t>
      </w:r>
    </w:p>
    <w:p w:rsidR="00406C93" w:rsidRPr="00717752" w:rsidRDefault="00D15FD4" w:rsidP="007245DE">
      <w:pPr>
        <w:pStyle w:val="BodyTextIndent3"/>
        <w:rPr>
          <w:sz w:val="22"/>
          <w:szCs w:val="22"/>
        </w:rPr>
      </w:pPr>
      <w:r>
        <w:rPr>
          <w:b w:val="0"/>
          <w:bCs w:val="0"/>
          <w:sz w:val="22"/>
          <w:szCs w:val="22"/>
        </w:rPr>
        <w:t>9</w:t>
      </w:r>
      <w:r w:rsidR="00717752">
        <w:rPr>
          <w:b w:val="0"/>
          <w:bCs w:val="0"/>
          <w:sz w:val="22"/>
          <w:szCs w:val="22"/>
        </w:rPr>
        <w:t>.7</w:t>
      </w:r>
      <w:r w:rsidR="00406C93" w:rsidRPr="00717752">
        <w:rPr>
          <w:b w:val="0"/>
          <w:bCs w:val="0"/>
          <w:sz w:val="22"/>
          <w:szCs w:val="22"/>
        </w:rPr>
        <w:tab/>
      </w:r>
      <w:r w:rsidR="007D4918" w:rsidRPr="00717752">
        <w:rPr>
          <w:sz w:val="22"/>
          <w:szCs w:val="22"/>
        </w:rPr>
        <w:t>Other implications</w:t>
      </w:r>
      <w:r w:rsidR="007D4918" w:rsidRPr="00717752">
        <w:rPr>
          <w:b w:val="0"/>
          <w:sz w:val="22"/>
          <w:szCs w:val="22"/>
        </w:rPr>
        <w:t xml:space="preserve"> (where significant) – i.e. Staff, Health, Sustainability, Crime and Disorder)</w:t>
      </w:r>
    </w:p>
    <w:p w:rsidR="00406C93" w:rsidRPr="00717752" w:rsidRDefault="00406C93" w:rsidP="007245DE">
      <w:pPr>
        <w:ind w:left="720"/>
        <w:rPr>
          <w:rFonts w:ascii="Arial" w:hAnsi="Arial" w:cs="Arial"/>
          <w:sz w:val="22"/>
          <w:szCs w:val="22"/>
        </w:rPr>
      </w:pPr>
    </w:p>
    <w:p w:rsidR="00406C93" w:rsidRPr="00717752" w:rsidRDefault="00D15FD4" w:rsidP="00EB1CF7">
      <w:pPr>
        <w:ind w:left="709" w:hanging="709"/>
        <w:rPr>
          <w:rFonts w:ascii="Arial" w:hAnsi="Arial" w:cs="Arial"/>
          <w:sz w:val="22"/>
          <w:szCs w:val="22"/>
        </w:rPr>
      </w:pPr>
      <w:r>
        <w:rPr>
          <w:rFonts w:ascii="Arial" w:hAnsi="Arial" w:cs="Arial"/>
          <w:sz w:val="22"/>
          <w:szCs w:val="22"/>
        </w:rPr>
        <w:t>9</w:t>
      </w:r>
      <w:r w:rsidR="00EB1CF7">
        <w:rPr>
          <w:rFonts w:ascii="Arial" w:hAnsi="Arial" w:cs="Arial"/>
          <w:sz w:val="22"/>
          <w:szCs w:val="22"/>
        </w:rPr>
        <w:t>.8       The refreshed Health and Wellbeing Strategy will facilitate crime and disorder priorities that relate specifically to health and wellbeing, further strengthening the relationship between the Health and Wellbeing Board and Community Safety Partnership.</w:t>
      </w:r>
    </w:p>
    <w:p w:rsidR="00406C93" w:rsidRPr="00717752" w:rsidRDefault="00406C93" w:rsidP="007245DE">
      <w:pPr>
        <w:pStyle w:val="Header"/>
        <w:tabs>
          <w:tab w:val="clear" w:pos="4153"/>
          <w:tab w:val="clear" w:pos="8306"/>
        </w:tabs>
        <w:rPr>
          <w:rFonts w:ascii="Arial" w:hAnsi="Arial" w:cs="Arial"/>
          <w:sz w:val="22"/>
          <w:szCs w:val="22"/>
        </w:rPr>
      </w:pPr>
    </w:p>
    <w:p w:rsidR="00406C93" w:rsidRPr="00717752" w:rsidRDefault="00D15FD4" w:rsidP="007245DE">
      <w:pPr>
        <w:pStyle w:val="BodyTextIndent"/>
        <w:ind w:left="709" w:hanging="709"/>
        <w:rPr>
          <w:b/>
          <w:bCs/>
          <w:sz w:val="22"/>
          <w:szCs w:val="22"/>
        </w:rPr>
      </w:pPr>
      <w:r>
        <w:rPr>
          <w:b/>
          <w:bCs/>
          <w:sz w:val="22"/>
          <w:szCs w:val="22"/>
        </w:rPr>
        <w:t>10</w:t>
      </w:r>
      <w:r w:rsidR="007D4918" w:rsidRPr="00717752">
        <w:rPr>
          <w:b/>
          <w:bCs/>
          <w:sz w:val="22"/>
          <w:szCs w:val="22"/>
        </w:rPr>
        <w:t>.</w:t>
      </w:r>
      <w:r w:rsidR="007D4918" w:rsidRPr="00717752">
        <w:rPr>
          <w:b/>
          <w:bCs/>
          <w:sz w:val="22"/>
          <w:szCs w:val="22"/>
        </w:rPr>
        <w:tab/>
      </w:r>
      <w:r w:rsidR="007D4918" w:rsidRPr="00717752">
        <w:rPr>
          <w:b/>
          <w:sz w:val="22"/>
          <w:szCs w:val="22"/>
        </w:rPr>
        <w:t xml:space="preserve">Background papers used in preparing the report </w:t>
      </w:r>
      <w:r w:rsidR="007D4918" w:rsidRPr="00717752">
        <w:rPr>
          <w:bCs/>
          <w:sz w:val="22"/>
          <w:szCs w:val="22"/>
        </w:rPr>
        <w:t>(including their location on the Council’s website or identification whether any are exempt or protected by copyright):</w:t>
      </w:r>
    </w:p>
    <w:p w:rsidR="00406C93" w:rsidRPr="00717752" w:rsidRDefault="00406C93" w:rsidP="007245DE">
      <w:pPr>
        <w:pStyle w:val="BodyTextIndent"/>
        <w:ind w:left="0" w:firstLine="0"/>
        <w:rPr>
          <w:sz w:val="22"/>
          <w:szCs w:val="22"/>
        </w:rPr>
      </w:pPr>
    </w:p>
    <w:p w:rsidR="00406C93" w:rsidRPr="00717752" w:rsidRDefault="00207531" w:rsidP="00BA5171">
      <w:pPr>
        <w:pStyle w:val="BodyTextIndent"/>
        <w:numPr>
          <w:ilvl w:val="0"/>
          <w:numId w:val="1"/>
        </w:numPr>
        <w:rPr>
          <w:sz w:val="22"/>
          <w:szCs w:val="22"/>
        </w:rPr>
      </w:pPr>
      <w:r>
        <w:rPr>
          <w:sz w:val="22"/>
          <w:szCs w:val="22"/>
        </w:rPr>
        <w:t>Health and Wellbeing Strategy 2016-2021</w:t>
      </w:r>
    </w:p>
    <w:p w:rsidR="00406C93" w:rsidRPr="00717752" w:rsidRDefault="00406C93" w:rsidP="007245DE">
      <w:pPr>
        <w:pStyle w:val="BodyTextIndent"/>
        <w:ind w:left="0" w:firstLine="0"/>
        <w:rPr>
          <w:sz w:val="22"/>
          <w:szCs w:val="22"/>
        </w:rPr>
      </w:pPr>
    </w:p>
    <w:p w:rsidR="00406C93" w:rsidRPr="00717752" w:rsidRDefault="00406C93" w:rsidP="007245DE">
      <w:pPr>
        <w:pStyle w:val="Header"/>
        <w:tabs>
          <w:tab w:val="clear" w:pos="4153"/>
          <w:tab w:val="clear" w:pos="8306"/>
        </w:tabs>
        <w:rPr>
          <w:rFonts w:ascii="Arial" w:hAnsi="Arial" w:cs="Arial"/>
          <w:sz w:val="22"/>
          <w:szCs w:val="22"/>
        </w:rPr>
      </w:pPr>
    </w:p>
    <w:p w:rsidR="002E1480" w:rsidRPr="00717752" w:rsidRDefault="002E1480" w:rsidP="007245DE">
      <w:pPr>
        <w:pStyle w:val="BodyTextIndent"/>
        <w:ind w:left="0" w:firstLine="0"/>
        <w:rPr>
          <w:b/>
          <w:bCs/>
          <w:sz w:val="22"/>
          <w:szCs w:val="22"/>
        </w:rPr>
      </w:pPr>
      <w:r w:rsidRPr="00717752">
        <w:rPr>
          <w:b/>
          <w:bCs/>
          <w:sz w:val="22"/>
          <w:szCs w:val="22"/>
        </w:rPr>
        <w:t>Report Author:</w:t>
      </w:r>
    </w:p>
    <w:p w:rsidR="002E1480" w:rsidRPr="00717752" w:rsidRDefault="002E1480" w:rsidP="007245DE">
      <w:pPr>
        <w:pStyle w:val="BodyTextIndent"/>
        <w:ind w:left="0" w:firstLine="0"/>
        <w:rPr>
          <w:sz w:val="22"/>
          <w:szCs w:val="22"/>
        </w:rPr>
      </w:pPr>
    </w:p>
    <w:p w:rsidR="002E1480" w:rsidRPr="00717752" w:rsidRDefault="000D66F4" w:rsidP="007245DE">
      <w:pPr>
        <w:pStyle w:val="BodyTextIndent"/>
        <w:ind w:left="1701" w:hanging="1701"/>
        <w:rPr>
          <w:sz w:val="22"/>
          <w:szCs w:val="22"/>
        </w:rPr>
      </w:pPr>
      <w:r w:rsidRPr="00717752">
        <w:rPr>
          <w:sz w:val="22"/>
          <w:szCs w:val="22"/>
        </w:rPr>
        <w:t>Darren Kristiansen</w:t>
      </w:r>
    </w:p>
    <w:p w:rsidR="000D66F4" w:rsidRDefault="000D66F4" w:rsidP="007245DE">
      <w:pPr>
        <w:pStyle w:val="BodyTextIndent"/>
        <w:ind w:left="1701" w:hanging="1701"/>
        <w:rPr>
          <w:sz w:val="22"/>
          <w:szCs w:val="22"/>
        </w:rPr>
      </w:pPr>
      <w:r w:rsidRPr="00717752">
        <w:rPr>
          <w:sz w:val="22"/>
          <w:szCs w:val="22"/>
        </w:rPr>
        <w:lastRenderedPageBreak/>
        <w:t>Business Manager AHH Directorate</w:t>
      </w:r>
    </w:p>
    <w:p w:rsidR="004064B4" w:rsidRDefault="004064B4" w:rsidP="007245DE">
      <w:pPr>
        <w:pStyle w:val="BodyTextIndent"/>
        <w:ind w:left="1701" w:hanging="1701"/>
        <w:rPr>
          <w:sz w:val="22"/>
          <w:szCs w:val="22"/>
        </w:rPr>
      </w:pPr>
    </w:p>
    <w:p w:rsidR="004064B4" w:rsidRDefault="004064B4" w:rsidP="007245DE">
      <w:pPr>
        <w:pStyle w:val="BodyTextIndent"/>
        <w:ind w:left="1701" w:hanging="1701"/>
        <w:rPr>
          <w:sz w:val="22"/>
          <w:szCs w:val="22"/>
        </w:rPr>
        <w:sectPr w:rsidR="004064B4" w:rsidSect="001E5303">
          <w:headerReference w:type="default" r:id="rId9"/>
          <w:pgSz w:w="11906" w:h="16838"/>
          <w:pgMar w:top="1440" w:right="1440" w:bottom="1440" w:left="1440" w:header="708" w:footer="708" w:gutter="0"/>
          <w:cols w:space="708"/>
          <w:docGrid w:linePitch="360"/>
        </w:sectPr>
      </w:pPr>
    </w:p>
    <w:p w:rsidR="004064B4" w:rsidRPr="004064B4" w:rsidRDefault="004064B4" w:rsidP="004064B4">
      <w:pPr>
        <w:pStyle w:val="BodyTextIndent"/>
        <w:ind w:left="0" w:firstLine="0"/>
        <w:jc w:val="right"/>
        <w:rPr>
          <w:b/>
          <w:sz w:val="22"/>
          <w:szCs w:val="22"/>
        </w:rPr>
      </w:pPr>
      <w:r w:rsidRPr="004064B4">
        <w:rPr>
          <w:b/>
          <w:sz w:val="22"/>
          <w:szCs w:val="22"/>
        </w:rPr>
        <w:lastRenderedPageBreak/>
        <w:t>Annex A</w:t>
      </w:r>
    </w:p>
    <w:p w:rsidR="004064B4" w:rsidRDefault="004064B4" w:rsidP="004064B4">
      <w:pPr>
        <w:pStyle w:val="BodyTextIndent"/>
        <w:ind w:left="0" w:firstLine="0"/>
        <w:jc w:val="center"/>
        <w:rPr>
          <w:b/>
          <w:sz w:val="22"/>
          <w:szCs w:val="22"/>
        </w:rPr>
      </w:pPr>
      <w:r w:rsidRPr="004064B4">
        <w:rPr>
          <w:b/>
          <w:sz w:val="22"/>
          <w:szCs w:val="22"/>
        </w:rPr>
        <w:t>Snapshot of HWB Strategy refresh</w:t>
      </w:r>
    </w:p>
    <w:p w:rsidR="004064B4" w:rsidRDefault="004064B4" w:rsidP="004064B4">
      <w:pPr>
        <w:pStyle w:val="BodyTextIndent"/>
        <w:ind w:left="0" w:firstLine="0"/>
        <w:jc w:val="center"/>
        <w:rPr>
          <w:b/>
          <w:sz w:val="22"/>
          <w:szCs w:val="22"/>
        </w:rPr>
      </w:pPr>
    </w:p>
    <w:p w:rsidR="004064B4" w:rsidRDefault="004064B4" w:rsidP="004064B4">
      <w:pPr>
        <w:pStyle w:val="BodyTextIndent"/>
        <w:ind w:left="0" w:firstLine="0"/>
        <w:jc w:val="center"/>
        <w:rPr>
          <w:b/>
          <w:sz w:val="22"/>
          <w:szCs w:val="22"/>
        </w:rPr>
      </w:pPr>
    </w:p>
    <w:tbl>
      <w:tblPr>
        <w:tblW w:w="13420" w:type="dxa"/>
        <w:tblInd w:w="-459" w:type="dxa"/>
        <w:tblLook w:val="04A0" w:firstRow="1" w:lastRow="0" w:firstColumn="1" w:lastColumn="0" w:noHBand="0" w:noVBand="1"/>
      </w:tblPr>
      <w:tblGrid>
        <w:gridCol w:w="2140"/>
        <w:gridCol w:w="7060"/>
        <w:gridCol w:w="1020"/>
        <w:gridCol w:w="3200"/>
      </w:tblGrid>
      <w:tr w:rsidR="004064B4" w:rsidTr="004064B4">
        <w:trPr>
          <w:trHeight w:val="260"/>
        </w:trPr>
        <w:tc>
          <w:tcPr>
            <w:tcW w:w="13420" w:type="dxa"/>
            <w:gridSpan w:val="4"/>
            <w:tcBorders>
              <w:top w:val="nil"/>
              <w:left w:val="nil"/>
              <w:bottom w:val="nil"/>
              <w:right w:val="nil"/>
            </w:tcBorders>
            <w:shd w:val="clear" w:color="auto" w:fill="auto"/>
            <w:noWrap/>
            <w:vAlign w:val="bottom"/>
            <w:hideMark/>
          </w:tcPr>
          <w:p w:rsidR="004064B4" w:rsidRDefault="004064B4">
            <w:pPr>
              <w:jc w:val="center"/>
              <w:rPr>
                <w:rFonts w:ascii="Calibri" w:hAnsi="Calibri" w:cs="Calibri"/>
                <w:b/>
                <w:bCs/>
                <w:color w:val="000000"/>
                <w:sz w:val="20"/>
                <w:szCs w:val="20"/>
                <w:lang w:eastAsia="en-GB"/>
              </w:rPr>
            </w:pPr>
            <w:r>
              <w:rPr>
                <w:rFonts w:ascii="Calibri" w:hAnsi="Calibri" w:cs="Calibri"/>
                <w:b/>
                <w:bCs/>
                <w:color w:val="000000"/>
                <w:sz w:val="20"/>
                <w:szCs w:val="20"/>
              </w:rPr>
              <w:t>Thurrock Health and Wellbeing Strategy Key Timescales and Milestones</w:t>
            </w:r>
          </w:p>
        </w:tc>
      </w:tr>
      <w:tr w:rsidR="004064B4" w:rsidTr="004064B4">
        <w:trPr>
          <w:trHeight w:val="260"/>
        </w:trPr>
        <w:tc>
          <w:tcPr>
            <w:tcW w:w="13420" w:type="dxa"/>
            <w:gridSpan w:val="4"/>
            <w:vMerge w:val="restart"/>
            <w:tcBorders>
              <w:top w:val="nil"/>
              <w:left w:val="nil"/>
              <w:bottom w:val="nil"/>
              <w:right w:val="nil"/>
            </w:tcBorders>
            <w:shd w:val="clear" w:color="auto" w:fill="auto"/>
            <w:hideMark/>
          </w:tcPr>
          <w:p w:rsidR="004064B4" w:rsidRDefault="004064B4">
            <w:pPr>
              <w:rPr>
                <w:rFonts w:ascii="Calibri" w:hAnsi="Calibri" w:cs="Calibri"/>
                <w:color w:val="000000"/>
                <w:sz w:val="20"/>
                <w:szCs w:val="20"/>
              </w:rPr>
            </w:pPr>
            <w:r>
              <w:rPr>
                <w:rFonts w:ascii="Calibri" w:hAnsi="Calibri" w:cs="Calibri"/>
                <w:color w:val="000000"/>
                <w:sz w:val="20"/>
                <w:szCs w:val="20"/>
              </w:rPr>
              <w:t>The Health and Wellbeing Strategy refresh will comprise the following elements:</w:t>
            </w:r>
            <w:r>
              <w:rPr>
                <w:rFonts w:ascii="Calibri" w:hAnsi="Calibri" w:cs="Calibri"/>
                <w:color w:val="000000"/>
                <w:sz w:val="20"/>
                <w:szCs w:val="20"/>
              </w:rPr>
              <w:br/>
              <w:t xml:space="preserve">* </w:t>
            </w:r>
            <w:r>
              <w:rPr>
                <w:rFonts w:ascii="Calibri" w:hAnsi="Calibri" w:cs="Calibri"/>
                <w:b/>
                <w:bCs/>
                <w:color w:val="70AD47"/>
                <w:sz w:val="20"/>
                <w:szCs w:val="20"/>
              </w:rPr>
              <w:t xml:space="preserve">  Analysis of current Strategic Goals and Objectives to determine which current Strategy Objectives should remain in the refreshed Strategy</w:t>
            </w:r>
            <w:r>
              <w:rPr>
                <w:rFonts w:ascii="Calibri" w:hAnsi="Calibri" w:cs="Calibri"/>
                <w:color w:val="000000"/>
                <w:sz w:val="20"/>
                <w:szCs w:val="20"/>
              </w:rPr>
              <w:br/>
              <w:t xml:space="preserve">*   </w:t>
            </w:r>
            <w:r>
              <w:rPr>
                <w:rFonts w:ascii="Calibri" w:hAnsi="Calibri" w:cs="Calibri"/>
                <w:b/>
                <w:bCs/>
                <w:color w:val="5B9BD5"/>
                <w:sz w:val="20"/>
                <w:szCs w:val="20"/>
              </w:rPr>
              <w:t>Consideration of new evidence that has emerged over the last 12 months which includes APHRs, JSNAs, national policy drivers to determine whether there are new challenges and priorities that should be included within the refreshed HWB Strategy</w:t>
            </w:r>
            <w:r>
              <w:rPr>
                <w:rFonts w:ascii="Calibri" w:hAnsi="Calibri" w:cs="Calibri"/>
                <w:color w:val="000000"/>
                <w:sz w:val="20"/>
                <w:szCs w:val="20"/>
              </w:rPr>
              <w:br/>
              <w:t xml:space="preserve">*   </w:t>
            </w:r>
            <w:r>
              <w:rPr>
                <w:rFonts w:ascii="Calibri" w:hAnsi="Calibri" w:cs="Calibri"/>
                <w:b/>
                <w:bCs/>
                <w:color w:val="ED7D31"/>
                <w:sz w:val="20"/>
                <w:szCs w:val="20"/>
              </w:rPr>
              <w:t>Creation of new HWB Strategy Goals and Objectives Framework</w:t>
            </w:r>
            <w:r>
              <w:rPr>
                <w:rFonts w:ascii="Calibri" w:hAnsi="Calibri" w:cs="Calibri"/>
                <w:color w:val="000000"/>
                <w:sz w:val="20"/>
                <w:szCs w:val="20"/>
              </w:rPr>
              <w:br/>
              <w:t xml:space="preserve">*  </w:t>
            </w:r>
            <w:r>
              <w:rPr>
                <w:rFonts w:ascii="Calibri" w:hAnsi="Calibri" w:cs="Calibri"/>
                <w:b/>
                <w:bCs/>
                <w:color w:val="7030A0"/>
                <w:sz w:val="20"/>
                <w:szCs w:val="20"/>
              </w:rPr>
              <w:t>Consultation with Elected members, partners and the public on proposed HWB Strategy Goals and Objectives</w:t>
            </w:r>
            <w:r>
              <w:rPr>
                <w:rFonts w:ascii="Calibri" w:hAnsi="Calibri" w:cs="Calibri"/>
                <w:color w:val="000000"/>
                <w:sz w:val="20"/>
                <w:szCs w:val="20"/>
              </w:rPr>
              <w:br/>
              <w:t xml:space="preserve">*  </w:t>
            </w:r>
            <w:r>
              <w:rPr>
                <w:rFonts w:ascii="Calibri" w:hAnsi="Calibri" w:cs="Calibri"/>
                <w:b/>
                <w:bCs/>
                <w:color w:val="996633"/>
                <w:sz w:val="20"/>
                <w:szCs w:val="20"/>
              </w:rPr>
              <w:t xml:space="preserve"> Finalising HWB Strategy for 2021-2026 and prepaing and launching refreshed HWB Strategy for Thurrock</w:t>
            </w:r>
            <w:r>
              <w:rPr>
                <w:rFonts w:ascii="Calibri" w:hAnsi="Calibri" w:cs="Calibri"/>
                <w:color w:val="000000"/>
                <w:sz w:val="20"/>
                <w:szCs w:val="20"/>
              </w:rPr>
              <w:t xml:space="preserve">                                                                                                                 </w:t>
            </w:r>
          </w:p>
        </w:tc>
      </w:tr>
      <w:tr w:rsidR="004064B4" w:rsidTr="004064B4">
        <w:trPr>
          <w:trHeight w:val="1650"/>
        </w:trPr>
        <w:tc>
          <w:tcPr>
            <w:tcW w:w="13420" w:type="dxa"/>
            <w:gridSpan w:val="4"/>
            <w:vMerge/>
            <w:tcBorders>
              <w:top w:val="nil"/>
              <w:left w:val="nil"/>
              <w:bottom w:val="nil"/>
              <w:right w:val="nil"/>
            </w:tcBorders>
            <w:vAlign w:val="center"/>
            <w:hideMark/>
          </w:tcPr>
          <w:p w:rsidR="004064B4" w:rsidRDefault="004064B4">
            <w:pPr>
              <w:rPr>
                <w:rFonts w:ascii="Calibri" w:hAnsi="Calibri" w:cs="Calibri"/>
                <w:color w:val="000000"/>
                <w:sz w:val="20"/>
                <w:szCs w:val="20"/>
              </w:rPr>
            </w:pPr>
          </w:p>
        </w:tc>
      </w:tr>
      <w:tr w:rsidR="004064B4" w:rsidTr="004064B4">
        <w:trPr>
          <w:trHeight w:val="270"/>
        </w:trPr>
        <w:tc>
          <w:tcPr>
            <w:tcW w:w="2140" w:type="dxa"/>
            <w:tcBorders>
              <w:top w:val="single" w:sz="8" w:space="0" w:color="4472C4"/>
              <w:left w:val="single" w:sz="8" w:space="0" w:color="4472C4"/>
              <w:bottom w:val="single" w:sz="8" w:space="0" w:color="4472C4"/>
              <w:right w:val="single" w:sz="8" w:space="0" w:color="4472C4"/>
            </w:tcBorders>
            <w:shd w:val="clear" w:color="auto" w:fill="auto"/>
            <w:vAlign w:val="bottom"/>
            <w:hideMark/>
          </w:tcPr>
          <w:p w:rsidR="004064B4" w:rsidRDefault="004064B4">
            <w:pPr>
              <w:rPr>
                <w:rFonts w:ascii="Calibri" w:hAnsi="Calibri" w:cs="Calibri"/>
                <w:b/>
                <w:bCs/>
                <w:color w:val="000000"/>
                <w:sz w:val="20"/>
                <w:szCs w:val="20"/>
              </w:rPr>
            </w:pPr>
            <w:r>
              <w:rPr>
                <w:rFonts w:ascii="Calibri" w:hAnsi="Calibri" w:cs="Calibri"/>
                <w:b/>
                <w:bCs/>
                <w:color w:val="000000"/>
                <w:sz w:val="20"/>
                <w:szCs w:val="20"/>
              </w:rPr>
              <w:t>Milestone</w:t>
            </w:r>
          </w:p>
        </w:tc>
        <w:tc>
          <w:tcPr>
            <w:tcW w:w="7060" w:type="dxa"/>
            <w:tcBorders>
              <w:top w:val="single" w:sz="8" w:space="0" w:color="4472C4"/>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b/>
                <w:bCs/>
                <w:color w:val="000000"/>
                <w:sz w:val="20"/>
                <w:szCs w:val="20"/>
              </w:rPr>
            </w:pPr>
            <w:r>
              <w:rPr>
                <w:rFonts w:ascii="Calibri" w:hAnsi="Calibri" w:cs="Calibri"/>
                <w:b/>
                <w:bCs/>
                <w:color w:val="000000"/>
                <w:sz w:val="20"/>
                <w:szCs w:val="20"/>
              </w:rPr>
              <w:t>Description</w:t>
            </w:r>
          </w:p>
        </w:tc>
        <w:tc>
          <w:tcPr>
            <w:tcW w:w="1020" w:type="dxa"/>
            <w:tcBorders>
              <w:top w:val="single" w:sz="8" w:space="0" w:color="4472C4"/>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b/>
                <w:bCs/>
                <w:color w:val="000000"/>
                <w:sz w:val="20"/>
                <w:szCs w:val="20"/>
              </w:rPr>
            </w:pPr>
            <w:r>
              <w:rPr>
                <w:rFonts w:ascii="Calibri" w:hAnsi="Calibri" w:cs="Calibri"/>
                <w:b/>
                <w:bCs/>
                <w:color w:val="000000"/>
                <w:sz w:val="20"/>
                <w:szCs w:val="20"/>
              </w:rPr>
              <w:t>Achieved</w:t>
            </w:r>
          </w:p>
        </w:tc>
        <w:tc>
          <w:tcPr>
            <w:tcW w:w="3200" w:type="dxa"/>
            <w:tcBorders>
              <w:top w:val="single" w:sz="8" w:space="0" w:color="4472C4"/>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b/>
                <w:bCs/>
                <w:color w:val="000000"/>
                <w:sz w:val="20"/>
                <w:szCs w:val="20"/>
              </w:rPr>
            </w:pPr>
            <w:r>
              <w:rPr>
                <w:rFonts w:ascii="Calibri" w:hAnsi="Calibri" w:cs="Calibri"/>
                <w:b/>
                <w:bCs/>
                <w:color w:val="000000"/>
                <w:sz w:val="20"/>
                <w:szCs w:val="20"/>
              </w:rPr>
              <w:t>Owners</w:t>
            </w:r>
          </w:p>
        </w:tc>
      </w:tr>
      <w:tr w:rsidR="004064B4" w:rsidTr="004064B4">
        <w:trPr>
          <w:trHeight w:val="530"/>
        </w:trPr>
        <w:tc>
          <w:tcPr>
            <w:tcW w:w="2140" w:type="dxa"/>
            <w:vMerge w:val="restart"/>
            <w:tcBorders>
              <w:top w:val="nil"/>
              <w:left w:val="single" w:sz="8" w:space="0" w:color="4472C4"/>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FF0000"/>
                <w:sz w:val="20"/>
                <w:szCs w:val="20"/>
              </w:rPr>
            </w:pPr>
            <w:r>
              <w:rPr>
                <w:rFonts w:ascii="Calibri" w:hAnsi="Calibri" w:cs="Calibri"/>
                <w:color w:val="FF0000"/>
                <w:sz w:val="20"/>
                <w:szCs w:val="20"/>
              </w:rPr>
              <w:t>Action taken up until 31 July</w:t>
            </w:r>
          </w:p>
        </w:tc>
        <w:tc>
          <w:tcPr>
            <w:tcW w:w="706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Review of new evidence provided via JSNAs, APHR, National policies and local strategies completed</w:t>
            </w:r>
          </w:p>
        </w:tc>
        <w:tc>
          <w:tcPr>
            <w:tcW w:w="102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Yes</w:t>
            </w:r>
          </w:p>
        </w:tc>
        <w:tc>
          <w:tcPr>
            <w:tcW w:w="3200" w:type="dxa"/>
            <w:vMerge w:val="restart"/>
            <w:tcBorders>
              <w:top w:val="nil"/>
              <w:left w:val="single" w:sz="8" w:space="0" w:color="4472C4"/>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Darren Kristiansen and Claire Quinn AHH BMT</w:t>
            </w:r>
          </w:p>
        </w:tc>
      </w:tr>
      <w:tr w:rsidR="004064B4" w:rsidTr="004064B4">
        <w:trPr>
          <w:trHeight w:val="540"/>
        </w:trPr>
        <w:tc>
          <w:tcPr>
            <w:tcW w:w="2140" w:type="dxa"/>
            <w:vMerge/>
            <w:tcBorders>
              <w:top w:val="nil"/>
              <w:left w:val="single" w:sz="8" w:space="0" w:color="4472C4"/>
              <w:bottom w:val="single" w:sz="8" w:space="0" w:color="4472C4"/>
              <w:right w:val="single" w:sz="8" w:space="0" w:color="4472C4"/>
            </w:tcBorders>
            <w:vAlign w:val="center"/>
            <w:hideMark/>
          </w:tcPr>
          <w:p w:rsidR="004064B4" w:rsidRDefault="004064B4">
            <w:pPr>
              <w:rPr>
                <w:rFonts w:ascii="Calibri" w:hAnsi="Calibri" w:cs="Calibri"/>
                <w:color w:val="FF0000"/>
                <w:sz w:val="20"/>
                <w:szCs w:val="20"/>
              </w:rPr>
            </w:pPr>
          </w:p>
        </w:tc>
        <w:tc>
          <w:tcPr>
            <w:tcW w:w="706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Analysis of current HWB Strategy Goals and Objectives completed</w:t>
            </w:r>
          </w:p>
        </w:tc>
        <w:tc>
          <w:tcPr>
            <w:tcW w:w="102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Yes</w:t>
            </w:r>
          </w:p>
        </w:tc>
        <w:tc>
          <w:tcPr>
            <w:tcW w:w="3200" w:type="dxa"/>
            <w:vMerge/>
            <w:tcBorders>
              <w:top w:val="nil"/>
              <w:left w:val="single" w:sz="8" w:space="0" w:color="4472C4"/>
              <w:bottom w:val="single" w:sz="8" w:space="0" w:color="4472C4"/>
              <w:right w:val="single" w:sz="8" w:space="0" w:color="4472C4"/>
            </w:tcBorders>
            <w:vAlign w:val="center"/>
            <w:hideMark/>
          </w:tcPr>
          <w:p w:rsidR="004064B4" w:rsidRDefault="004064B4">
            <w:pPr>
              <w:rPr>
                <w:rFonts w:ascii="Calibri" w:hAnsi="Calibri" w:cs="Calibri"/>
                <w:color w:val="000000"/>
                <w:sz w:val="20"/>
                <w:szCs w:val="20"/>
              </w:rPr>
            </w:pPr>
          </w:p>
        </w:tc>
      </w:tr>
      <w:tr w:rsidR="004064B4" w:rsidTr="004064B4">
        <w:trPr>
          <w:trHeight w:val="540"/>
        </w:trPr>
        <w:tc>
          <w:tcPr>
            <w:tcW w:w="2140" w:type="dxa"/>
            <w:vMerge/>
            <w:tcBorders>
              <w:top w:val="nil"/>
              <w:left w:val="single" w:sz="8" w:space="0" w:color="4472C4"/>
              <w:bottom w:val="single" w:sz="8" w:space="0" w:color="4472C4"/>
              <w:right w:val="single" w:sz="8" w:space="0" w:color="4472C4"/>
            </w:tcBorders>
            <w:vAlign w:val="center"/>
            <w:hideMark/>
          </w:tcPr>
          <w:p w:rsidR="004064B4" w:rsidRDefault="004064B4">
            <w:pPr>
              <w:rPr>
                <w:rFonts w:ascii="Calibri" w:hAnsi="Calibri" w:cs="Calibri"/>
                <w:color w:val="FF0000"/>
                <w:sz w:val="20"/>
                <w:szCs w:val="20"/>
              </w:rPr>
            </w:pPr>
          </w:p>
        </w:tc>
        <w:tc>
          <w:tcPr>
            <w:tcW w:w="706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Framework created for HWB Strategy</w:t>
            </w:r>
          </w:p>
        </w:tc>
        <w:tc>
          <w:tcPr>
            <w:tcW w:w="102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Yes</w:t>
            </w:r>
          </w:p>
        </w:tc>
        <w:tc>
          <w:tcPr>
            <w:tcW w:w="3200" w:type="dxa"/>
            <w:vMerge/>
            <w:tcBorders>
              <w:top w:val="nil"/>
              <w:left w:val="single" w:sz="8" w:space="0" w:color="4472C4"/>
              <w:bottom w:val="single" w:sz="8" w:space="0" w:color="4472C4"/>
              <w:right w:val="single" w:sz="8" w:space="0" w:color="4472C4"/>
            </w:tcBorders>
            <w:vAlign w:val="center"/>
            <w:hideMark/>
          </w:tcPr>
          <w:p w:rsidR="004064B4" w:rsidRDefault="004064B4">
            <w:pPr>
              <w:rPr>
                <w:rFonts w:ascii="Calibri" w:hAnsi="Calibri" w:cs="Calibri"/>
                <w:color w:val="000000"/>
                <w:sz w:val="20"/>
                <w:szCs w:val="20"/>
              </w:rPr>
            </w:pPr>
          </w:p>
        </w:tc>
      </w:tr>
      <w:tr w:rsidR="004064B4" w:rsidTr="004064B4">
        <w:trPr>
          <w:trHeight w:val="540"/>
        </w:trPr>
        <w:tc>
          <w:tcPr>
            <w:tcW w:w="2140" w:type="dxa"/>
            <w:vMerge/>
            <w:tcBorders>
              <w:top w:val="nil"/>
              <w:left w:val="single" w:sz="8" w:space="0" w:color="4472C4"/>
              <w:bottom w:val="single" w:sz="8" w:space="0" w:color="4472C4"/>
              <w:right w:val="single" w:sz="8" w:space="0" w:color="4472C4"/>
            </w:tcBorders>
            <w:vAlign w:val="center"/>
            <w:hideMark/>
          </w:tcPr>
          <w:p w:rsidR="004064B4" w:rsidRDefault="004064B4">
            <w:pPr>
              <w:rPr>
                <w:rFonts w:ascii="Calibri" w:hAnsi="Calibri" w:cs="Calibri"/>
                <w:color w:val="FF0000"/>
                <w:sz w:val="20"/>
                <w:szCs w:val="20"/>
              </w:rPr>
            </w:pPr>
          </w:p>
        </w:tc>
        <w:tc>
          <w:tcPr>
            <w:tcW w:w="706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Draft communication strategy developed</w:t>
            </w:r>
          </w:p>
        </w:tc>
        <w:tc>
          <w:tcPr>
            <w:tcW w:w="102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Yes</w:t>
            </w:r>
          </w:p>
        </w:tc>
        <w:tc>
          <w:tcPr>
            <w:tcW w:w="3200" w:type="dxa"/>
            <w:vMerge/>
            <w:tcBorders>
              <w:top w:val="nil"/>
              <w:left w:val="single" w:sz="8" w:space="0" w:color="4472C4"/>
              <w:bottom w:val="single" w:sz="8" w:space="0" w:color="4472C4"/>
              <w:right w:val="single" w:sz="8" w:space="0" w:color="4472C4"/>
            </w:tcBorders>
            <w:vAlign w:val="center"/>
            <w:hideMark/>
          </w:tcPr>
          <w:p w:rsidR="004064B4" w:rsidRDefault="004064B4">
            <w:pPr>
              <w:rPr>
                <w:rFonts w:ascii="Calibri" w:hAnsi="Calibri" w:cs="Calibri"/>
                <w:color w:val="000000"/>
                <w:sz w:val="20"/>
                <w:szCs w:val="20"/>
              </w:rPr>
            </w:pPr>
          </w:p>
        </w:tc>
      </w:tr>
      <w:tr w:rsidR="004064B4" w:rsidTr="004064B4">
        <w:trPr>
          <w:trHeight w:val="540"/>
        </w:trPr>
        <w:tc>
          <w:tcPr>
            <w:tcW w:w="2140" w:type="dxa"/>
            <w:vMerge/>
            <w:tcBorders>
              <w:top w:val="nil"/>
              <w:left w:val="single" w:sz="8" w:space="0" w:color="4472C4"/>
              <w:bottom w:val="single" w:sz="8" w:space="0" w:color="4472C4"/>
              <w:right w:val="single" w:sz="8" w:space="0" w:color="4472C4"/>
            </w:tcBorders>
            <w:vAlign w:val="center"/>
            <w:hideMark/>
          </w:tcPr>
          <w:p w:rsidR="004064B4" w:rsidRDefault="004064B4">
            <w:pPr>
              <w:rPr>
                <w:rFonts w:ascii="Calibri" w:hAnsi="Calibri" w:cs="Calibri"/>
                <w:color w:val="FF0000"/>
                <w:sz w:val="20"/>
                <w:szCs w:val="20"/>
              </w:rPr>
            </w:pPr>
          </w:p>
        </w:tc>
        <w:tc>
          <w:tcPr>
            <w:tcW w:w="706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Broad timescales developed</w:t>
            </w:r>
          </w:p>
        </w:tc>
        <w:tc>
          <w:tcPr>
            <w:tcW w:w="102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Yes</w:t>
            </w:r>
          </w:p>
        </w:tc>
        <w:tc>
          <w:tcPr>
            <w:tcW w:w="3200" w:type="dxa"/>
            <w:vMerge/>
            <w:tcBorders>
              <w:top w:val="nil"/>
              <w:left w:val="single" w:sz="8" w:space="0" w:color="4472C4"/>
              <w:bottom w:val="single" w:sz="8" w:space="0" w:color="4472C4"/>
              <w:right w:val="single" w:sz="8" w:space="0" w:color="4472C4"/>
            </w:tcBorders>
            <w:vAlign w:val="center"/>
            <w:hideMark/>
          </w:tcPr>
          <w:p w:rsidR="004064B4" w:rsidRDefault="004064B4">
            <w:pPr>
              <w:rPr>
                <w:rFonts w:ascii="Calibri" w:hAnsi="Calibri" w:cs="Calibri"/>
                <w:color w:val="000000"/>
                <w:sz w:val="20"/>
                <w:szCs w:val="20"/>
              </w:rPr>
            </w:pPr>
          </w:p>
        </w:tc>
      </w:tr>
      <w:tr w:rsidR="004064B4" w:rsidTr="004064B4">
        <w:trPr>
          <w:trHeight w:val="510"/>
        </w:trPr>
        <w:tc>
          <w:tcPr>
            <w:tcW w:w="2140" w:type="dxa"/>
            <w:vMerge/>
            <w:tcBorders>
              <w:top w:val="nil"/>
              <w:left w:val="single" w:sz="8" w:space="0" w:color="4472C4"/>
              <w:bottom w:val="single" w:sz="8" w:space="0" w:color="4472C4"/>
              <w:right w:val="single" w:sz="8" w:space="0" w:color="4472C4"/>
            </w:tcBorders>
            <w:vAlign w:val="center"/>
            <w:hideMark/>
          </w:tcPr>
          <w:p w:rsidR="004064B4" w:rsidRDefault="004064B4">
            <w:pPr>
              <w:rPr>
                <w:rFonts w:ascii="Calibri" w:hAnsi="Calibri" w:cs="Calibri"/>
                <w:color w:val="FF0000"/>
                <w:sz w:val="20"/>
                <w:szCs w:val="20"/>
              </w:rPr>
            </w:pPr>
          </w:p>
        </w:tc>
        <w:tc>
          <w:tcPr>
            <w:tcW w:w="706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Informal partner and officer engagement to consider current and refreshed Strategy</w:t>
            </w:r>
          </w:p>
        </w:tc>
        <w:tc>
          <w:tcPr>
            <w:tcW w:w="102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Yes</w:t>
            </w:r>
          </w:p>
        </w:tc>
        <w:tc>
          <w:tcPr>
            <w:tcW w:w="3200" w:type="dxa"/>
            <w:vMerge/>
            <w:tcBorders>
              <w:top w:val="nil"/>
              <w:left w:val="single" w:sz="8" w:space="0" w:color="4472C4"/>
              <w:bottom w:val="single" w:sz="8" w:space="0" w:color="4472C4"/>
              <w:right w:val="single" w:sz="8" w:space="0" w:color="4472C4"/>
            </w:tcBorders>
            <w:vAlign w:val="center"/>
            <w:hideMark/>
          </w:tcPr>
          <w:p w:rsidR="004064B4" w:rsidRDefault="004064B4">
            <w:pPr>
              <w:rPr>
                <w:rFonts w:ascii="Calibri" w:hAnsi="Calibri" w:cs="Calibri"/>
                <w:color w:val="000000"/>
                <w:sz w:val="20"/>
                <w:szCs w:val="20"/>
              </w:rPr>
            </w:pPr>
          </w:p>
        </w:tc>
      </w:tr>
      <w:tr w:rsidR="004064B4" w:rsidTr="004064B4">
        <w:trPr>
          <w:trHeight w:val="510"/>
        </w:trPr>
        <w:tc>
          <w:tcPr>
            <w:tcW w:w="2140" w:type="dxa"/>
            <w:vMerge/>
            <w:tcBorders>
              <w:top w:val="nil"/>
              <w:left w:val="single" w:sz="8" w:space="0" w:color="4472C4"/>
              <w:bottom w:val="single" w:sz="8" w:space="0" w:color="4472C4"/>
              <w:right w:val="single" w:sz="8" w:space="0" w:color="4472C4"/>
            </w:tcBorders>
            <w:vAlign w:val="center"/>
            <w:hideMark/>
          </w:tcPr>
          <w:p w:rsidR="004064B4" w:rsidRDefault="004064B4">
            <w:pPr>
              <w:rPr>
                <w:rFonts w:ascii="Calibri" w:hAnsi="Calibri" w:cs="Calibri"/>
                <w:color w:val="FF0000"/>
                <w:sz w:val="20"/>
                <w:szCs w:val="20"/>
              </w:rPr>
            </w:pPr>
          </w:p>
        </w:tc>
        <w:tc>
          <w:tcPr>
            <w:tcW w:w="706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Paper developed for consideration by the HWB</w:t>
            </w:r>
          </w:p>
        </w:tc>
        <w:tc>
          <w:tcPr>
            <w:tcW w:w="102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Yes</w:t>
            </w:r>
          </w:p>
        </w:tc>
        <w:tc>
          <w:tcPr>
            <w:tcW w:w="3200" w:type="dxa"/>
            <w:vMerge/>
            <w:tcBorders>
              <w:top w:val="nil"/>
              <w:left w:val="single" w:sz="8" w:space="0" w:color="4472C4"/>
              <w:bottom w:val="single" w:sz="8" w:space="0" w:color="4472C4"/>
              <w:right w:val="single" w:sz="8" w:space="0" w:color="4472C4"/>
            </w:tcBorders>
            <w:vAlign w:val="center"/>
            <w:hideMark/>
          </w:tcPr>
          <w:p w:rsidR="004064B4" w:rsidRDefault="004064B4">
            <w:pPr>
              <w:rPr>
                <w:rFonts w:ascii="Calibri" w:hAnsi="Calibri" w:cs="Calibri"/>
                <w:color w:val="000000"/>
                <w:sz w:val="20"/>
                <w:szCs w:val="20"/>
              </w:rPr>
            </w:pPr>
          </w:p>
        </w:tc>
      </w:tr>
      <w:tr w:rsidR="004064B4" w:rsidTr="004064B4">
        <w:trPr>
          <w:trHeight w:val="270"/>
        </w:trPr>
        <w:tc>
          <w:tcPr>
            <w:tcW w:w="2140" w:type="dxa"/>
            <w:tcBorders>
              <w:top w:val="nil"/>
              <w:left w:val="single" w:sz="8" w:space="0" w:color="4472C4"/>
              <w:bottom w:val="single" w:sz="8" w:space="0" w:color="4472C4"/>
              <w:right w:val="single" w:sz="8" w:space="0" w:color="4472C4"/>
            </w:tcBorders>
            <w:shd w:val="clear" w:color="000000" w:fill="E2EFDA"/>
            <w:vAlign w:val="bottom"/>
            <w:hideMark/>
          </w:tcPr>
          <w:p w:rsidR="004064B4" w:rsidRDefault="004064B4">
            <w:pPr>
              <w:rPr>
                <w:rFonts w:ascii="Calibri" w:hAnsi="Calibri" w:cs="Calibri"/>
                <w:b/>
                <w:bCs/>
                <w:color w:val="ED7D31"/>
                <w:sz w:val="20"/>
                <w:szCs w:val="20"/>
              </w:rPr>
            </w:pPr>
            <w:r>
              <w:rPr>
                <w:rFonts w:ascii="Calibri" w:hAnsi="Calibri" w:cs="Calibri"/>
                <w:b/>
                <w:bCs/>
                <w:color w:val="ED7D31"/>
                <w:sz w:val="20"/>
                <w:szCs w:val="20"/>
              </w:rPr>
              <w:t>31-Jul-20</w:t>
            </w:r>
          </w:p>
        </w:tc>
        <w:tc>
          <w:tcPr>
            <w:tcW w:w="7060" w:type="dxa"/>
            <w:tcBorders>
              <w:top w:val="nil"/>
              <w:left w:val="nil"/>
              <w:bottom w:val="single" w:sz="8" w:space="0" w:color="4472C4"/>
              <w:right w:val="single" w:sz="8" w:space="0" w:color="4472C4"/>
            </w:tcBorders>
            <w:shd w:val="clear" w:color="000000" w:fill="E2EFDA"/>
            <w:vAlign w:val="bottom"/>
            <w:hideMark/>
          </w:tcPr>
          <w:p w:rsidR="004064B4" w:rsidRDefault="004064B4">
            <w:pPr>
              <w:rPr>
                <w:rFonts w:ascii="Calibri" w:hAnsi="Calibri" w:cs="Calibri"/>
                <w:b/>
                <w:bCs/>
                <w:color w:val="ED7D31"/>
                <w:sz w:val="20"/>
                <w:szCs w:val="20"/>
              </w:rPr>
            </w:pPr>
            <w:r>
              <w:rPr>
                <w:rFonts w:ascii="Calibri" w:hAnsi="Calibri" w:cs="Calibri"/>
                <w:b/>
                <w:bCs/>
                <w:color w:val="ED7D31"/>
                <w:sz w:val="20"/>
                <w:szCs w:val="20"/>
              </w:rPr>
              <w:t>HWB to consider proposals for HWB Strategy refresh</w:t>
            </w:r>
          </w:p>
        </w:tc>
        <w:tc>
          <w:tcPr>
            <w:tcW w:w="102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c>
          <w:tcPr>
            <w:tcW w:w="320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r>
    </w:tbl>
    <w:p w:rsidR="004064B4" w:rsidRDefault="004064B4">
      <w:r>
        <w:br w:type="page"/>
      </w:r>
    </w:p>
    <w:tbl>
      <w:tblPr>
        <w:tblW w:w="13420" w:type="dxa"/>
        <w:tblInd w:w="-459" w:type="dxa"/>
        <w:tblLook w:val="04A0" w:firstRow="1" w:lastRow="0" w:firstColumn="1" w:lastColumn="0" w:noHBand="0" w:noVBand="1"/>
      </w:tblPr>
      <w:tblGrid>
        <w:gridCol w:w="2140"/>
        <w:gridCol w:w="7060"/>
        <w:gridCol w:w="1020"/>
        <w:gridCol w:w="3200"/>
      </w:tblGrid>
      <w:tr w:rsidR="004064B4" w:rsidTr="00F83788">
        <w:trPr>
          <w:trHeight w:val="270"/>
        </w:trPr>
        <w:tc>
          <w:tcPr>
            <w:tcW w:w="2140" w:type="dxa"/>
            <w:tcBorders>
              <w:top w:val="single" w:sz="8" w:space="0" w:color="4472C4"/>
              <w:left w:val="single" w:sz="8" w:space="0" w:color="4472C4"/>
              <w:bottom w:val="single" w:sz="8" w:space="0" w:color="4472C4"/>
              <w:right w:val="single" w:sz="8" w:space="0" w:color="4472C4"/>
            </w:tcBorders>
            <w:shd w:val="clear" w:color="auto" w:fill="auto"/>
            <w:vAlign w:val="bottom"/>
            <w:hideMark/>
          </w:tcPr>
          <w:p w:rsidR="004064B4" w:rsidRDefault="004064B4" w:rsidP="00F83788">
            <w:pPr>
              <w:rPr>
                <w:rFonts w:ascii="Calibri" w:hAnsi="Calibri" w:cs="Calibri"/>
                <w:b/>
                <w:bCs/>
                <w:color w:val="000000"/>
                <w:sz w:val="20"/>
                <w:szCs w:val="20"/>
              </w:rPr>
            </w:pPr>
            <w:r>
              <w:rPr>
                <w:rFonts w:ascii="Calibri" w:hAnsi="Calibri" w:cs="Calibri"/>
                <w:b/>
                <w:bCs/>
                <w:color w:val="000000"/>
                <w:sz w:val="20"/>
                <w:szCs w:val="20"/>
              </w:rPr>
              <w:lastRenderedPageBreak/>
              <w:t>Milestone</w:t>
            </w:r>
          </w:p>
        </w:tc>
        <w:tc>
          <w:tcPr>
            <w:tcW w:w="7060" w:type="dxa"/>
            <w:tcBorders>
              <w:top w:val="single" w:sz="8" w:space="0" w:color="4472C4"/>
              <w:left w:val="nil"/>
              <w:bottom w:val="single" w:sz="8" w:space="0" w:color="4472C4"/>
              <w:right w:val="single" w:sz="8" w:space="0" w:color="4472C4"/>
            </w:tcBorders>
            <w:shd w:val="clear" w:color="auto" w:fill="auto"/>
            <w:vAlign w:val="bottom"/>
            <w:hideMark/>
          </w:tcPr>
          <w:p w:rsidR="004064B4" w:rsidRDefault="004064B4" w:rsidP="00F83788">
            <w:pPr>
              <w:rPr>
                <w:rFonts w:ascii="Calibri" w:hAnsi="Calibri" w:cs="Calibri"/>
                <w:b/>
                <w:bCs/>
                <w:color w:val="000000"/>
                <w:sz w:val="20"/>
                <w:szCs w:val="20"/>
              </w:rPr>
            </w:pPr>
            <w:r>
              <w:rPr>
                <w:rFonts w:ascii="Calibri" w:hAnsi="Calibri" w:cs="Calibri"/>
                <w:b/>
                <w:bCs/>
                <w:color w:val="000000"/>
                <w:sz w:val="20"/>
                <w:szCs w:val="20"/>
              </w:rPr>
              <w:t>Description</w:t>
            </w:r>
          </w:p>
        </w:tc>
        <w:tc>
          <w:tcPr>
            <w:tcW w:w="1020" w:type="dxa"/>
            <w:tcBorders>
              <w:top w:val="single" w:sz="8" w:space="0" w:color="4472C4"/>
              <w:left w:val="nil"/>
              <w:bottom w:val="single" w:sz="8" w:space="0" w:color="4472C4"/>
              <w:right w:val="single" w:sz="8" w:space="0" w:color="4472C4"/>
            </w:tcBorders>
            <w:shd w:val="clear" w:color="auto" w:fill="auto"/>
            <w:vAlign w:val="bottom"/>
            <w:hideMark/>
          </w:tcPr>
          <w:p w:rsidR="004064B4" w:rsidRDefault="004064B4" w:rsidP="00F83788">
            <w:pPr>
              <w:rPr>
                <w:rFonts w:ascii="Calibri" w:hAnsi="Calibri" w:cs="Calibri"/>
                <w:b/>
                <w:bCs/>
                <w:color w:val="000000"/>
                <w:sz w:val="20"/>
                <w:szCs w:val="20"/>
              </w:rPr>
            </w:pPr>
            <w:r>
              <w:rPr>
                <w:rFonts w:ascii="Calibri" w:hAnsi="Calibri" w:cs="Calibri"/>
                <w:b/>
                <w:bCs/>
                <w:color w:val="000000"/>
                <w:sz w:val="20"/>
                <w:szCs w:val="20"/>
              </w:rPr>
              <w:t>Achieved</w:t>
            </w:r>
          </w:p>
        </w:tc>
        <w:tc>
          <w:tcPr>
            <w:tcW w:w="3200" w:type="dxa"/>
            <w:tcBorders>
              <w:top w:val="single" w:sz="8" w:space="0" w:color="4472C4"/>
              <w:left w:val="nil"/>
              <w:bottom w:val="single" w:sz="8" w:space="0" w:color="4472C4"/>
              <w:right w:val="single" w:sz="8" w:space="0" w:color="4472C4"/>
            </w:tcBorders>
            <w:shd w:val="clear" w:color="auto" w:fill="auto"/>
            <w:vAlign w:val="bottom"/>
            <w:hideMark/>
          </w:tcPr>
          <w:p w:rsidR="004064B4" w:rsidRDefault="004064B4" w:rsidP="00F83788">
            <w:pPr>
              <w:rPr>
                <w:rFonts w:ascii="Calibri" w:hAnsi="Calibri" w:cs="Calibri"/>
                <w:b/>
                <w:bCs/>
                <w:color w:val="000000"/>
                <w:sz w:val="20"/>
                <w:szCs w:val="20"/>
              </w:rPr>
            </w:pPr>
            <w:r>
              <w:rPr>
                <w:rFonts w:ascii="Calibri" w:hAnsi="Calibri" w:cs="Calibri"/>
                <w:b/>
                <w:bCs/>
                <w:color w:val="000000"/>
                <w:sz w:val="20"/>
                <w:szCs w:val="20"/>
              </w:rPr>
              <w:t>Owners</w:t>
            </w:r>
          </w:p>
        </w:tc>
      </w:tr>
      <w:tr w:rsidR="004064B4" w:rsidTr="004064B4">
        <w:trPr>
          <w:trHeight w:val="270"/>
        </w:trPr>
        <w:tc>
          <w:tcPr>
            <w:tcW w:w="2140" w:type="dxa"/>
            <w:vMerge w:val="restart"/>
            <w:tcBorders>
              <w:top w:val="nil"/>
              <w:left w:val="single" w:sz="8" w:space="0" w:color="4472C4"/>
              <w:bottom w:val="single" w:sz="8" w:space="0" w:color="4472C4"/>
              <w:right w:val="single" w:sz="8" w:space="0" w:color="4472C4"/>
            </w:tcBorders>
            <w:shd w:val="clear" w:color="auto" w:fill="auto"/>
            <w:vAlign w:val="bottom"/>
            <w:hideMark/>
          </w:tcPr>
          <w:p w:rsidR="004064B4" w:rsidRDefault="004064B4" w:rsidP="004064B4">
            <w:pPr>
              <w:rPr>
                <w:rFonts w:ascii="Calibri" w:hAnsi="Calibri" w:cs="Calibri"/>
                <w:color w:val="FF0000"/>
                <w:sz w:val="20"/>
                <w:szCs w:val="20"/>
              </w:rPr>
            </w:pPr>
            <w:r>
              <w:rPr>
                <w:rFonts w:ascii="Calibri" w:hAnsi="Calibri" w:cs="Calibri"/>
                <w:color w:val="FF0000"/>
                <w:sz w:val="20"/>
                <w:szCs w:val="20"/>
              </w:rPr>
              <w:t>July - Beginning of October</w:t>
            </w:r>
          </w:p>
        </w:tc>
        <w:tc>
          <w:tcPr>
            <w:tcW w:w="706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Task and Finish Group established</w:t>
            </w:r>
          </w:p>
        </w:tc>
        <w:tc>
          <w:tcPr>
            <w:tcW w:w="102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c>
          <w:tcPr>
            <w:tcW w:w="320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r>
      <w:tr w:rsidR="004064B4" w:rsidTr="00F83788">
        <w:trPr>
          <w:trHeight w:val="2120"/>
        </w:trPr>
        <w:tc>
          <w:tcPr>
            <w:tcW w:w="2140" w:type="dxa"/>
            <w:vMerge/>
            <w:tcBorders>
              <w:top w:val="nil"/>
              <w:left w:val="single" w:sz="8" w:space="0" w:color="4472C4"/>
              <w:bottom w:val="single" w:sz="8" w:space="0" w:color="4472C4"/>
              <w:right w:val="single" w:sz="8" w:space="0" w:color="4472C4"/>
            </w:tcBorders>
            <w:vAlign w:val="center"/>
            <w:hideMark/>
          </w:tcPr>
          <w:p w:rsidR="004064B4" w:rsidRDefault="004064B4">
            <w:pPr>
              <w:rPr>
                <w:rFonts w:ascii="Calibri" w:hAnsi="Calibri" w:cs="Calibri"/>
                <w:color w:val="FF0000"/>
                <w:sz w:val="20"/>
                <w:szCs w:val="20"/>
              </w:rPr>
            </w:pPr>
          </w:p>
        </w:tc>
        <w:tc>
          <w:tcPr>
            <w:tcW w:w="7060" w:type="dxa"/>
            <w:vMerge w:val="restart"/>
            <w:tcBorders>
              <w:top w:val="nil"/>
              <w:left w:val="single" w:sz="8" w:space="0" w:color="4472C4"/>
              <w:bottom w:val="nil"/>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xml:space="preserve">All papers relating to HWB Strategy refresh (Proposed Goals and Objectives widely agreed by partners / Comms Strategy finalised and engagement plan developed / publicity and promotional material /online consultation document/ hard copies available in easy read) </w:t>
            </w:r>
          </w:p>
        </w:tc>
        <w:tc>
          <w:tcPr>
            <w:tcW w:w="1020" w:type="dxa"/>
            <w:tcBorders>
              <w:top w:val="nil"/>
              <w:left w:val="nil"/>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p w:rsidR="004064B4" w:rsidRDefault="004064B4">
            <w:pPr>
              <w:rPr>
                <w:rFonts w:ascii="Calibri" w:hAnsi="Calibri" w:cs="Calibri"/>
                <w:color w:val="000000"/>
                <w:sz w:val="20"/>
                <w:szCs w:val="20"/>
              </w:rPr>
            </w:pPr>
            <w:r>
              <w:rPr>
                <w:rFonts w:ascii="Calibri" w:hAnsi="Calibri" w:cs="Calibri"/>
                <w:color w:val="000000"/>
                <w:sz w:val="20"/>
                <w:szCs w:val="20"/>
              </w:rPr>
              <w:t> </w:t>
            </w:r>
          </w:p>
          <w:p w:rsidR="004064B4" w:rsidRDefault="004064B4">
            <w:pPr>
              <w:rPr>
                <w:rFonts w:ascii="Calibri" w:hAnsi="Calibri" w:cs="Calibri"/>
                <w:color w:val="000000"/>
                <w:sz w:val="20"/>
                <w:szCs w:val="20"/>
              </w:rPr>
            </w:pPr>
            <w:r>
              <w:rPr>
                <w:rFonts w:ascii="Calibri" w:hAnsi="Calibri" w:cs="Calibri"/>
                <w:color w:val="000000"/>
                <w:sz w:val="20"/>
                <w:szCs w:val="20"/>
              </w:rPr>
              <w:t> </w:t>
            </w:r>
          </w:p>
          <w:p w:rsidR="004064B4" w:rsidRDefault="004064B4">
            <w:pPr>
              <w:rPr>
                <w:rFonts w:ascii="Calibri" w:hAnsi="Calibri" w:cs="Calibri"/>
                <w:color w:val="000000"/>
                <w:sz w:val="20"/>
                <w:szCs w:val="20"/>
              </w:rPr>
            </w:pPr>
            <w:r>
              <w:rPr>
                <w:rFonts w:ascii="Calibri" w:hAnsi="Calibri" w:cs="Calibri"/>
                <w:color w:val="000000"/>
                <w:sz w:val="20"/>
                <w:szCs w:val="20"/>
              </w:rPr>
              <w:t> </w:t>
            </w:r>
          </w:p>
          <w:p w:rsidR="004064B4" w:rsidRDefault="004064B4">
            <w:pPr>
              <w:rPr>
                <w:rFonts w:ascii="Calibri" w:hAnsi="Calibri" w:cs="Calibri"/>
                <w:color w:val="000000"/>
                <w:sz w:val="20"/>
                <w:szCs w:val="20"/>
              </w:rPr>
            </w:pPr>
            <w:r>
              <w:rPr>
                <w:rFonts w:ascii="Calibri" w:hAnsi="Calibri" w:cs="Calibri"/>
                <w:color w:val="000000"/>
                <w:sz w:val="20"/>
                <w:szCs w:val="20"/>
              </w:rPr>
              <w:t> </w:t>
            </w:r>
          </w:p>
          <w:p w:rsidR="004064B4" w:rsidRDefault="004064B4" w:rsidP="00F83788">
            <w:pPr>
              <w:rPr>
                <w:rFonts w:ascii="Calibri" w:hAnsi="Calibri" w:cs="Calibri"/>
                <w:color w:val="000000"/>
                <w:sz w:val="20"/>
                <w:szCs w:val="20"/>
              </w:rPr>
            </w:pPr>
            <w:r>
              <w:rPr>
                <w:rFonts w:ascii="Calibri" w:hAnsi="Calibri" w:cs="Calibri"/>
                <w:color w:val="000000"/>
                <w:sz w:val="20"/>
                <w:szCs w:val="20"/>
              </w:rPr>
              <w:t> </w:t>
            </w:r>
          </w:p>
        </w:tc>
        <w:tc>
          <w:tcPr>
            <w:tcW w:w="3200" w:type="dxa"/>
            <w:vMerge w:val="restart"/>
            <w:tcBorders>
              <w:top w:val="nil"/>
              <w:left w:val="nil"/>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p w:rsidR="004064B4" w:rsidRDefault="004064B4">
            <w:pPr>
              <w:rPr>
                <w:rFonts w:ascii="Calibri" w:hAnsi="Calibri" w:cs="Calibri"/>
                <w:color w:val="000000"/>
                <w:sz w:val="20"/>
                <w:szCs w:val="20"/>
              </w:rPr>
            </w:pPr>
            <w:r>
              <w:rPr>
                <w:rFonts w:ascii="Calibri" w:hAnsi="Calibri" w:cs="Calibri"/>
                <w:color w:val="000000"/>
                <w:sz w:val="20"/>
                <w:szCs w:val="20"/>
              </w:rPr>
              <w:t> </w:t>
            </w:r>
          </w:p>
          <w:p w:rsidR="004064B4" w:rsidRDefault="004064B4">
            <w:pPr>
              <w:rPr>
                <w:rFonts w:ascii="Calibri" w:hAnsi="Calibri" w:cs="Calibri"/>
                <w:color w:val="000000"/>
                <w:sz w:val="20"/>
                <w:szCs w:val="20"/>
              </w:rPr>
            </w:pPr>
            <w:r>
              <w:rPr>
                <w:rFonts w:ascii="Calibri" w:hAnsi="Calibri" w:cs="Calibri"/>
                <w:color w:val="000000"/>
                <w:sz w:val="20"/>
                <w:szCs w:val="20"/>
              </w:rPr>
              <w:t> </w:t>
            </w:r>
          </w:p>
          <w:p w:rsidR="004064B4" w:rsidRDefault="004064B4">
            <w:pPr>
              <w:rPr>
                <w:rFonts w:ascii="Calibri" w:hAnsi="Calibri" w:cs="Calibri"/>
                <w:color w:val="000000"/>
                <w:sz w:val="20"/>
                <w:szCs w:val="20"/>
              </w:rPr>
            </w:pPr>
            <w:r>
              <w:rPr>
                <w:rFonts w:ascii="Calibri" w:hAnsi="Calibri" w:cs="Calibri"/>
                <w:color w:val="000000"/>
                <w:sz w:val="20"/>
                <w:szCs w:val="20"/>
              </w:rPr>
              <w:t xml:space="preserve"> Task and Finish Group and AHH BMT </w:t>
            </w:r>
          </w:p>
          <w:p w:rsidR="004064B4" w:rsidRDefault="004064B4">
            <w:pPr>
              <w:rPr>
                <w:rFonts w:ascii="Calibri" w:hAnsi="Calibri" w:cs="Calibri"/>
                <w:color w:val="000000"/>
                <w:sz w:val="20"/>
                <w:szCs w:val="20"/>
              </w:rPr>
            </w:pPr>
            <w:r>
              <w:rPr>
                <w:rFonts w:ascii="Calibri" w:hAnsi="Calibri" w:cs="Calibri"/>
                <w:color w:val="000000"/>
                <w:sz w:val="20"/>
                <w:szCs w:val="20"/>
              </w:rPr>
              <w:t> </w:t>
            </w:r>
          </w:p>
          <w:p w:rsidR="004064B4" w:rsidRDefault="004064B4">
            <w:pPr>
              <w:rPr>
                <w:rFonts w:ascii="Calibri" w:hAnsi="Calibri" w:cs="Calibri"/>
                <w:color w:val="000000"/>
                <w:sz w:val="20"/>
                <w:szCs w:val="20"/>
              </w:rPr>
            </w:pPr>
            <w:r>
              <w:rPr>
                <w:rFonts w:ascii="Calibri" w:hAnsi="Calibri" w:cs="Calibri"/>
                <w:color w:val="000000"/>
                <w:sz w:val="20"/>
                <w:szCs w:val="20"/>
              </w:rPr>
              <w:t> </w:t>
            </w:r>
          </w:p>
          <w:p w:rsidR="004064B4" w:rsidRDefault="004064B4" w:rsidP="00F83788">
            <w:pPr>
              <w:rPr>
                <w:rFonts w:ascii="Calibri" w:hAnsi="Calibri" w:cs="Calibri"/>
                <w:color w:val="000000"/>
                <w:sz w:val="20"/>
                <w:szCs w:val="20"/>
              </w:rPr>
            </w:pPr>
            <w:r>
              <w:rPr>
                <w:rFonts w:ascii="Calibri" w:hAnsi="Calibri" w:cs="Calibri"/>
                <w:color w:val="000000"/>
                <w:sz w:val="20"/>
                <w:szCs w:val="20"/>
              </w:rPr>
              <w:t> </w:t>
            </w:r>
          </w:p>
        </w:tc>
      </w:tr>
      <w:tr w:rsidR="004064B4" w:rsidTr="00F83788">
        <w:trPr>
          <w:trHeight w:val="40"/>
        </w:trPr>
        <w:tc>
          <w:tcPr>
            <w:tcW w:w="2140" w:type="dxa"/>
            <w:vMerge/>
            <w:tcBorders>
              <w:top w:val="nil"/>
              <w:left w:val="single" w:sz="8" w:space="0" w:color="4472C4"/>
              <w:bottom w:val="single" w:sz="8" w:space="0" w:color="4472C4"/>
              <w:right w:val="single" w:sz="8" w:space="0" w:color="4472C4"/>
            </w:tcBorders>
            <w:vAlign w:val="center"/>
            <w:hideMark/>
          </w:tcPr>
          <w:p w:rsidR="004064B4" w:rsidRDefault="004064B4">
            <w:pPr>
              <w:rPr>
                <w:rFonts w:ascii="Calibri" w:hAnsi="Calibri" w:cs="Calibri"/>
                <w:color w:val="FF0000"/>
                <w:sz w:val="20"/>
                <w:szCs w:val="20"/>
              </w:rPr>
            </w:pPr>
          </w:p>
        </w:tc>
        <w:tc>
          <w:tcPr>
            <w:tcW w:w="7060" w:type="dxa"/>
            <w:vMerge/>
            <w:tcBorders>
              <w:top w:val="nil"/>
              <w:left w:val="single" w:sz="8" w:space="0" w:color="4472C4"/>
              <w:bottom w:val="nil"/>
              <w:right w:val="single" w:sz="8" w:space="0" w:color="4472C4"/>
            </w:tcBorders>
            <w:vAlign w:val="center"/>
            <w:hideMark/>
          </w:tcPr>
          <w:p w:rsidR="004064B4" w:rsidRDefault="004064B4">
            <w:pPr>
              <w:rPr>
                <w:rFonts w:ascii="Calibri" w:hAnsi="Calibri" w:cs="Calibri"/>
                <w:color w:val="000000"/>
                <w:sz w:val="20"/>
                <w:szCs w:val="20"/>
              </w:rPr>
            </w:pPr>
          </w:p>
        </w:tc>
        <w:tc>
          <w:tcPr>
            <w:tcW w:w="102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c>
          <w:tcPr>
            <w:tcW w:w="3200" w:type="dxa"/>
            <w:vMerge/>
            <w:tcBorders>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p>
        </w:tc>
      </w:tr>
      <w:tr w:rsidR="004064B4" w:rsidTr="004064B4">
        <w:trPr>
          <w:trHeight w:val="640"/>
        </w:trPr>
        <w:tc>
          <w:tcPr>
            <w:tcW w:w="2140" w:type="dxa"/>
            <w:tcBorders>
              <w:top w:val="nil"/>
              <w:left w:val="single" w:sz="8" w:space="0" w:color="4472C4"/>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October - December</w:t>
            </w:r>
          </w:p>
        </w:tc>
        <w:tc>
          <w:tcPr>
            <w:tcW w:w="7060" w:type="dxa"/>
            <w:tcBorders>
              <w:top w:val="single" w:sz="8" w:space="0" w:color="4472C4"/>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xml:space="preserve">Governance approval (DB, HWB, CCG Board, Partner Boards, Overview and Scrutiny Committees) </w:t>
            </w:r>
          </w:p>
        </w:tc>
        <w:tc>
          <w:tcPr>
            <w:tcW w:w="102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c>
          <w:tcPr>
            <w:tcW w:w="320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r>
      <w:tr w:rsidR="004064B4" w:rsidTr="004064B4">
        <w:trPr>
          <w:trHeight w:val="270"/>
        </w:trPr>
        <w:tc>
          <w:tcPr>
            <w:tcW w:w="2140" w:type="dxa"/>
            <w:tcBorders>
              <w:top w:val="nil"/>
              <w:left w:val="single" w:sz="8" w:space="0" w:color="4472C4"/>
              <w:bottom w:val="single" w:sz="8" w:space="0" w:color="4472C4"/>
              <w:right w:val="single" w:sz="8" w:space="0" w:color="4472C4"/>
            </w:tcBorders>
            <w:shd w:val="clear" w:color="000000" w:fill="E2EFDA"/>
            <w:vAlign w:val="bottom"/>
            <w:hideMark/>
          </w:tcPr>
          <w:p w:rsidR="004064B4" w:rsidRDefault="004064B4">
            <w:pPr>
              <w:rPr>
                <w:rFonts w:ascii="Calibri" w:hAnsi="Calibri" w:cs="Calibri"/>
                <w:b/>
                <w:bCs/>
                <w:color w:val="ED7D31"/>
                <w:sz w:val="20"/>
                <w:szCs w:val="20"/>
              </w:rPr>
            </w:pPr>
            <w:r>
              <w:rPr>
                <w:rFonts w:ascii="Calibri" w:hAnsi="Calibri" w:cs="Calibri"/>
                <w:b/>
                <w:bCs/>
                <w:color w:val="ED7D31"/>
                <w:sz w:val="20"/>
                <w:szCs w:val="20"/>
              </w:rPr>
              <w:t>January 21 - Feb 21</w:t>
            </w:r>
          </w:p>
        </w:tc>
        <w:tc>
          <w:tcPr>
            <w:tcW w:w="7060" w:type="dxa"/>
            <w:tcBorders>
              <w:top w:val="nil"/>
              <w:left w:val="nil"/>
              <w:bottom w:val="single" w:sz="8" w:space="0" w:color="4472C4"/>
              <w:right w:val="single" w:sz="8" w:space="0" w:color="4472C4"/>
            </w:tcBorders>
            <w:shd w:val="clear" w:color="000000" w:fill="E2EFDA"/>
            <w:vAlign w:val="bottom"/>
            <w:hideMark/>
          </w:tcPr>
          <w:p w:rsidR="004064B4" w:rsidRDefault="004064B4">
            <w:pPr>
              <w:rPr>
                <w:rFonts w:ascii="Calibri" w:hAnsi="Calibri" w:cs="Calibri"/>
                <w:b/>
                <w:bCs/>
                <w:color w:val="ED7D31"/>
                <w:sz w:val="20"/>
                <w:szCs w:val="20"/>
              </w:rPr>
            </w:pPr>
            <w:r>
              <w:rPr>
                <w:rFonts w:ascii="Calibri" w:hAnsi="Calibri" w:cs="Calibri"/>
                <w:b/>
                <w:bCs/>
                <w:color w:val="ED7D31"/>
                <w:sz w:val="20"/>
                <w:szCs w:val="20"/>
              </w:rPr>
              <w:t>Public Consultation Period</w:t>
            </w:r>
          </w:p>
        </w:tc>
        <w:tc>
          <w:tcPr>
            <w:tcW w:w="102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c>
          <w:tcPr>
            <w:tcW w:w="320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r>
      <w:tr w:rsidR="004064B4" w:rsidTr="004064B4">
        <w:trPr>
          <w:trHeight w:val="270"/>
        </w:trPr>
        <w:tc>
          <w:tcPr>
            <w:tcW w:w="2140" w:type="dxa"/>
            <w:tcBorders>
              <w:top w:val="nil"/>
              <w:left w:val="single" w:sz="8" w:space="0" w:color="4472C4"/>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Mar-21</w:t>
            </w:r>
          </w:p>
        </w:tc>
        <w:tc>
          <w:tcPr>
            <w:tcW w:w="706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Analysis and report writing for both online and face to face consultation</w:t>
            </w:r>
          </w:p>
        </w:tc>
        <w:tc>
          <w:tcPr>
            <w:tcW w:w="102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c>
          <w:tcPr>
            <w:tcW w:w="320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r>
      <w:tr w:rsidR="004064B4" w:rsidTr="004064B4">
        <w:trPr>
          <w:trHeight w:val="270"/>
        </w:trPr>
        <w:tc>
          <w:tcPr>
            <w:tcW w:w="2140" w:type="dxa"/>
            <w:tcBorders>
              <w:top w:val="nil"/>
              <w:left w:val="single" w:sz="8" w:space="0" w:color="4472C4"/>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April / May 21</w:t>
            </w:r>
          </w:p>
        </w:tc>
        <w:tc>
          <w:tcPr>
            <w:tcW w:w="706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xml:space="preserve">Creating final version of the HWB Strategy </w:t>
            </w:r>
          </w:p>
        </w:tc>
        <w:tc>
          <w:tcPr>
            <w:tcW w:w="102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c>
          <w:tcPr>
            <w:tcW w:w="320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r>
      <w:tr w:rsidR="004064B4" w:rsidTr="004064B4">
        <w:trPr>
          <w:trHeight w:val="530"/>
        </w:trPr>
        <w:tc>
          <w:tcPr>
            <w:tcW w:w="2140" w:type="dxa"/>
            <w:tcBorders>
              <w:top w:val="nil"/>
              <w:left w:val="single" w:sz="8" w:space="0" w:color="4472C4"/>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June - July 21</w:t>
            </w:r>
          </w:p>
        </w:tc>
        <w:tc>
          <w:tcPr>
            <w:tcW w:w="7060" w:type="dxa"/>
            <w:tcBorders>
              <w:top w:val="nil"/>
              <w:left w:val="nil"/>
              <w:bottom w:val="single" w:sz="8" w:space="0" w:color="4472C4"/>
              <w:right w:val="single" w:sz="8" w:space="0" w:color="4472C4"/>
            </w:tcBorders>
            <w:shd w:val="clear" w:color="auto" w:fill="auto"/>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Engaging various governance structures (HOSC / HWB / Cabinet / CCG Board / STP Board) to secure agreement on final strategy</w:t>
            </w:r>
          </w:p>
        </w:tc>
        <w:tc>
          <w:tcPr>
            <w:tcW w:w="102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c>
          <w:tcPr>
            <w:tcW w:w="320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r>
      <w:tr w:rsidR="004064B4" w:rsidTr="004064B4">
        <w:trPr>
          <w:trHeight w:val="270"/>
        </w:trPr>
        <w:tc>
          <w:tcPr>
            <w:tcW w:w="2140" w:type="dxa"/>
            <w:tcBorders>
              <w:top w:val="nil"/>
              <w:left w:val="single" w:sz="8" w:space="0" w:color="4472C4"/>
              <w:bottom w:val="single" w:sz="8" w:space="0" w:color="4472C4"/>
              <w:right w:val="single" w:sz="8" w:space="0" w:color="4472C4"/>
            </w:tcBorders>
            <w:shd w:val="clear" w:color="auto" w:fill="auto"/>
            <w:vAlign w:val="bottom"/>
            <w:hideMark/>
          </w:tcPr>
          <w:p w:rsidR="004064B4" w:rsidRDefault="004064B4">
            <w:pPr>
              <w:rPr>
                <w:rFonts w:ascii="Calibri" w:hAnsi="Calibri" w:cs="Calibri"/>
                <w:sz w:val="20"/>
                <w:szCs w:val="20"/>
              </w:rPr>
            </w:pPr>
            <w:r>
              <w:rPr>
                <w:rFonts w:ascii="Calibri" w:hAnsi="Calibri" w:cs="Calibri"/>
                <w:sz w:val="20"/>
                <w:szCs w:val="20"/>
              </w:rPr>
              <w:t>End July 21</w:t>
            </w:r>
          </w:p>
        </w:tc>
        <w:tc>
          <w:tcPr>
            <w:tcW w:w="706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Launch of HWB Strategy 2021 - 2026</w:t>
            </w:r>
          </w:p>
        </w:tc>
        <w:tc>
          <w:tcPr>
            <w:tcW w:w="102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c>
          <w:tcPr>
            <w:tcW w:w="3200" w:type="dxa"/>
            <w:tcBorders>
              <w:top w:val="nil"/>
              <w:left w:val="nil"/>
              <w:bottom w:val="single" w:sz="8" w:space="0" w:color="4472C4"/>
              <w:right w:val="single" w:sz="8" w:space="0" w:color="4472C4"/>
            </w:tcBorders>
            <w:shd w:val="clear" w:color="auto" w:fill="auto"/>
            <w:noWrap/>
            <w:vAlign w:val="bottom"/>
            <w:hideMark/>
          </w:tcPr>
          <w:p w:rsidR="004064B4" w:rsidRDefault="004064B4">
            <w:pPr>
              <w:rPr>
                <w:rFonts w:ascii="Calibri" w:hAnsi="Calibri" w:cs="Calibri"/>
                <w:color w:val="000000"/>
                <w:sz w:val="20"/>
                <w:szCs w:val="20"/>
              </w:rPr>
            </w:pPr>
            <w:r>
              <w:rPr>
                <w:rFonts w:ascii="Calibri" w:hAnsi="Calibri" w:cs="Calibri"/>
                <w:color w:val="000000"/>
                <w:sz w:val="20"/>
                <w:szCs w:val="20"/>
              </w:rPr>
              <w:t> </w:t>
            </w:r>
          </w:p>
        </w:tc>
      </w:tr>
    </w:tbl>
    <w:p w:rsidR="004064B4" w:rsidRPr="004064B4" w:rsidRDefault="004064B4" w:rsidP="004064B4">
      <w:pPr>
        <w:pStyle w:val="BodyTextIndent"/>
        <w:ind w:left="0" w:firstLine="0"/>
        <w:jc w:val="center"/>
        <w:rPr>
          <w:b/>
          <w:sz w:val="22"/>
          <w:szCs w:val="22"/>
        </w:rPr>
      </w:pPr>
    </w:p>
    <w:sectPr w:rsidR="004064B4" w:rsidRPr="004064B4" w:rsidSect="004064B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68" w:rsidRDefault="00BB1068">
      <w:r>
        <w:separator/>
      </w:r>
    </w:p>
  </w:endnote>
  <w:endnote w:type="continuationSeparator" w:id="0">
    <w:p w:rsidR="00BB1068" w:rsidRDefault="00BB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hurrock Council Logo">
    <w:panose1 w:val="05090102010202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68" w:rsidRDefault="00BB1068">
      <w:r>
        <w:separator/>
      </w:r>
    </w:p>
  </w:footnote>
  <w:footnote w:type="continuationSeparator" w:id="0">
    <w:p w:rsidR="00BB1068" w:rsidRDefault="00BB1068">
      <w:r>
        <w:continuationSeparator/>
      </w:r>
    </w:p>
  </w:footnote>
  <w:footnote w:id="1">
    <w:p w:rsidR="000D66F4" w:rsidRDefault="000D66F4" w:rsidP="000D66F4">
      <w:pPr>
        <w:pStyle w:val="FootnoteText"/>
      </w:pPr>
      <w:r>
        <w:rPr>
          <w:rStyle w:val="FootnoteReference"/>
        </w:rPr>
        <w:footnoteRef/>
      </w:r>
      <w:r>
        <w:t xml:space="preserve"> As set out on JSNA page of council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BE" w:rsidRPr="0081478D" w:rsidRDefault="008D4BBE" w:rsidP="0081478D">
    <w:pPr>
      <w:pStyle w:val="Header"/>
      <w:tabs>
        <w:tab w:val="clear" w:pos="4153"/>
        <w:tab w:val="clear" w:pos="8306"/>
        <w:tab w:val="right" w:pos="9540"/>
        <w:tab w:val="center" w:pos="11520"/>
      </w:tabs>
      <w:ind w:right="-514"/>
      <w:jc w:val="center"/>
      <w:rPr>
        <w:rFonts w:ascii="Arial" w:hAnsi="Arial" w:cs="Arial"/>
        <w:b/>
        <w:vanish/>
        <w:color w:val="FF0000"/>
        <w:sz w:val="22"/>
        <w:szCs w:val="22"/>
      </w:rPr>
    </w:pPr>
    <w:r w:rsidRPr="0081478D">
      <w:rPr>
        <w:rFonts w:ascii="Arial" w:hAnsi="Arial" w:cs="Arial"/>
        <w:b/>
        <w:vanish/>
        <w:color w:val="FF0000"/>
        <w:sz w:val="22"/>
        <w:szCs w:val="22"/>
      </w:rPr>
      <w:t>PLEASE REMEMBER TO ACCEPT OR REJECT ANY TRACK CHANGES BEFORE SUBMITTING YOUR FINAL REPORT TO DEMOCRATIC SERVICES</w:t>
    </w:r>
  </w:p>
  <w:p w:rsidR="008D4BBE" w:rsidRDefault="008D4BBE">
    <w:pPr>
      <w:pStyle w:val="Header"/>
      <w:tabs>
        <w:tab w:val="clear" w:pos="8306"/>
        <w:tab w:val="right" w:pos="8820"/>
      </w:tabs>
      <w:ind w:right="-514"/>
      <w:jc w:val="right"/>
      <w:rPr>
        <w:rFonts w:ascii="Thurrock Council Logo" w:hAnsi="Thurrock Council Logo"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625"/>
    <w:multiLevelType w:val="multilevel"/>
    <w:tmpl w:val="874876E6"/>
    <w:lvl w:ilvl="0">
      <w:start w:val="1"/>
      <w:numFmt w:val="bullet"/>
      <w:lvlText w:val=""/>
      <w:lvlJc w:val="left"/>
      <w:pPr>
        <w:ind w:left="1077" w:hanging="360"/>
      </w:pPr>
      <w:rPr>
        <w:rFonts w:ascii="Symbol" w:hAnsi="Symbol" w:hint="default"/>
      </w:rPr>
    </w:lvl>
    <w:lvl w:ilvl="1">
      <w:start w:val="1"/>
      <w:numFmt w:val="bullet"/>
      <w:lvlText w:val=""/>
      <w:lvlJc w:val="left"/>
      <w:pPr>
        <w:ind w:left="1149" w:hanging="432"/>
      </w:pPr>
      <w:rPr>
        <w:rFonts w:ascii="Symbol" w:hAnsi="Symbol" w:hint="default"/>
        <w:b w:val="0"/>
      </w:rPr>
    </w:lvl>
    <w:lvl w:ilvl="2">
      <w:start w:val="1"/>
      <w:numFmt w:val="bullet"/>
      <w:lvlText w:val=""/>
      <w:lvlJc w:val="left"/>
      <w:pPr>
        <w:ind w:left="1363" w:hanging="504"/>
      </w:pPr>
      <w:rPr>
        <w:rFonts w:ascii="Symbol" w:hAnsi="Symbol" w:hint="default"/>
        <w:b w:val="0"/>
      </w:rPr>
    </w:lvl>
    <w:lvl w:ilvl="3">
      <w:start w:val="1"/>
      <w:numFmt w:val="bullet"/>
      <w:lvlText w:val=""/>
      <w:lvlJc w:val="left"/>
      <w:pPr>
        <w:ind w:left="2445" w:hanging="648"/>
      </w:pPr>
      <w:rPr>
        <w:rFonts w:ascii="Symbol" w:hAnsi="Symbol" w:hint="default"/>
      </w:rPr>
    </w:lvl>
    <w:lvl w:ilvl="4">
      <w:start w:val="1"/>
      <w:numFmt w:val="decimal"/>
      <w:lvlText w:val="%1.%2.%3.%4.%5."/>
      <w:lvlJc w:val="left"/>
      <w:pPr>
        <w:ind w:left="2949" w:hanging="792"/>
      </w:pPr>
      <w:rPr>
        <w:rFonts w:hint="default"/>
      </w:rPr>
    </w:lvl>
    <w:lvl w:ilvl="5">
      <w:start w:val="1"/>
      <w:numFmt w:val="bullet"/>
      <w:lvlText w:val=""/>
      <w:lvlJc w:val="left"/>
      <w:pPr>
        <w:ind w:left="3453" w:hanging="936"/>
      </w:pPr>
      <w:rPr>
        <w:rFonts w:ascii="Symbol" w:hAnsi="Symbol" w:hint="default"/>
      </w:rPr>
    </w:lvl>
    <w:lvl w:ilvl="6">
      <w:start w:val="1"/>
      <w:numFmt w:val="decimal"/>
      <w:lvlText w:val="%1.%2.%3.%4.%5.%6.%7."/>
      <w:lvlJc w:val="left"/>
      <w:pPr>
        <w:ind w:left="3957" w:hanging="1080"/>
      </w:pPr>
      <w:rPr>
        <w:rFonts w:hint="default"/>
      </w:rPr>
    </w:lvl>
    <w:lvl w:ilvl="7">
      <w:start w:val="1"/>
      <w:numFmt w:val="decimal"/>
      <w:lvlText w:val="%1.%2.%3.%4.%5.%6.%7.%8."/>
      <w:lvlJc w:val="left"/>
      <w:pPr>
        <w:ind w:left="4461" w:hanging="1224"/>
      </w:pPr>
      <w:rPr>
        <w:rFonts w:hint="default"/>
      </w:rPr>
    </w:lvl>
    <w:lvl w:ilvl="8">
      <w:start w:val="1"/>
      <w:numFmt w:val="decimal"/>
      <w:lvlText w:val="%1.%2.%3.%4.%5.%6.%7.%8.%9."/>
      <w:lvlJc w:val="left"/>
      <w:pPr>
        <w:ind w:left="5037" w:hanging="1440"/>
      </w:pPr>
      <w:rPr>
        <w:rFonts w:hint="default"/>
      </w:rPr>
    </w:lvl>
  </w:abstractNum>
  <w:abstractNum w:abstractNumId="1" w15:restartNumberingAfterBreak="0">
    <w:nsid w:val="06D11F9F"/>
    <w:multiLevelType w:val="multilevel"/>
    <w:tmpl w:val="AE36FE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96406F"/>
    <w:multiLevelType w:val="hybridMultilevel"/>
    <w:tmpl w:val="50564BA6"/>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900532C"/>
    <w:multiLevelType w:val="hybridMultilevel"/>
    <w:tmpl w:val="FFC2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247F0"/>
    <w:multiLevelType w:val="hybridMultilevel"/>
    <w:tmpl w:val="E6247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C2A34A4"/>
    <w:multiLevelType w:val="hybridMultilevel"/>
    <w:tmpl w:val="5FC2FD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DE761B3"/>
    <w:multiLevelType w:val="hybridMultilevel"/>
    <w:tmpl w:val="B4664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F02043"/>
    <w:multiLevelType w:val="multilevel"/>
    <w:tmpl w:val="375889E8"/>
    <w:lvl w:ilvl="0">
      <w:numFmt w:val="bullet"/>
      <w:lvlText w:val="·"/>
      <w:lvlJc w:val="left"/>
      <w:pPr>
        <w:tabs>
          <w:tab w:val="left" w:pos="504"/>
        </w:tabs>
      </w:pPr>
      <w:rPr>
        <w:rFonts w:ascii="Symbol" w:eastAsia="Symbol" w:hAnsi="Symbol"/>
        <w:color w:val="000000"/>
        <w:spacing w:val="0"/>
        <w:w w:val="100"/>
        <w:sz w:val="24"/>
        <w:vertAlign w:val="baseline"/>
        <w:lang w:val="en-US"/>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181BAD"/>
    <w:multiLevelType w:val="hybridMultilevel"/>
    <w:tmpl w:val="14DEF8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A50055"/>
    <w:multiLevelType w:val="hybridMultilevel"/>
    <w:tmpl w:val="D440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900EE"/>
    <w:multiLevelType w:val="hybridMultilevel"/>
    <w:tmpl w:val="E4B45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02841"/>
    <w:multiLevelType w:val="multilevel"/>
    <w:tmpl w:val="1BE8E7EC"/>
    <w:lvl w:ilvl="0">
      <w:start w:val="1"/>
      <w:numFmt w:val="bullet"/>
      <w:lvlText w:val=""/>
      <w:lvlJc w:val="left"/>
      <w:pPr>
        <w:ind w:left="-474" w:hanging="360"/>
      </w:pPr>
      <w:rPr>
        <w:rFonts w:ascii="Symbol" w:hAnsi="Symbol" w:hint="default"/>
      </w:rPr>
    </w:lvl>
    <w:lvl w:ilvl="1">
      <w:start w:val="1"/>
      <w:numFmt w:val="decimal"/>
      <w:lvlText w:val="%1.%2."/>
      <w:lvlJc w:val="left"/>
      <w:pPr>
        <w:ind w:left="-402" w:hanging="432"/>
      </w:pPr>
      <w:rPr>
        <w:rFonts w:hint="default"/>
        <w:b w:val="0"/>
      </w:rPr>
    </w:lvl>
    <w:lvl w:ilvl="2">
      <w:start w:val="1"/>
      <w:numFmt w:val="decimal"/>
      <w:lvlText w:val="%1.%2.%3."/>
      <w:lvlJc w:val="left"/>
      <w:pPr>
        <w:ind w:left="-188" w:hanging="504"/>
      </w:pPr>
      <w:rPr>
        <w:rFonts w:hint="default"/>
        <w:b w:val="0"/>
      </w:rPr>
    </w:lvl>
    <w:lvl w:ilvl="3">
      <w:start w:val="1"/>
      <w:numFmt w:val="decimal"/>
      <w:lvlText w:val="%1.%2.%3.%4."/>
      <w:lvlJc w:val="left"/>
      <w:pPr>
        <w:ind w:left="894" w:hanging="648"/>
      </w:pPr>
      <w:rPr>
        <w:rFonts w:hint="default"/>
      </w:rPr>
    </w:lvl>
    <w:lvl w:ilvl="4">
      <w:start w:val="1"/>
      <w:numFmt w:val="decimal"/>
      <w:lvlText w:val="%1.%2.%3.%4.%5."/>
      <w:lvlJc w:val="left"/>
      <w:pPr>
        <w:ind w:left="1398" w:hanging="792"/>
      </w:pPr>
      <w:rPr>
        <w:rFonts w:hint="default"/>
      </w:rPr>
    </w:lvl>
    <w:lvl w:ilvl="5">
      <w:start w:val="1"/>
      <w:numFmt w:val="decimal"/>
      <w:lvlText w:val="%1.%2.%3.%4.%5.%6."/>
      <w:lvlJc w:val="left"/>
      <w:pPr>
        <w:ind w:left="1902" w:hanging="936"/>
      </w:pPr>
      <w:rPr>
        <w:rFonts w:hint="default"/>
      </w:rPr>
    </w:lvl>
    <w:lvl w:ilvl="6">
      <w:start w:val="1"/>
      <w:numFmt w:val="decimal"/>
      <w:lvlText w:val="%1.%2.%3.%4.%5.%6.%7."/>
      <w:lvlJc w:val="left"/>
      <w:pPr>
        <w:ind w:left="2406" w:hanging="1080"/>
      </w:pPr>
      <w:rPr>
        <w:rFonts w:hint="default"/>
      </w:rPr>
    </w:lvl>
    <w:lvl w:ilvl="7">
      <w:start w:val="1"/>
      <w:numFmt w:val="decimal"/>
      <w:lvlText w:val="%1.%2.%3.%4.%5.%6.%7.%8."/>
      <w:lvlJc w:val="left"/>
      <w:pPr>
        <w:ind w:left="2910" w:hanging="1224"/>
      </w:pPr>
      <w:rPr>
        <w:rFonts w:hint="default"/>
      </w:rPr>
    </w:lvl>
    <w:lvl w:ilvl="8">
      <w:start w:val="1"/>
      <w:numFmt w:val="decimal"/>
      <w:lvlText w:val="%1.%2.%3.%4.%5.%6.%7.%8.%9."/>
      <w:lvlJc w:val="left"/>
      <w:pPr>
        <w:ind w:left="3486" w:hanging="1440"/>
      </w:pPr>
      <w:rPr>
        <w:rFonts w:hint="default"/>
      </w:rPr>
    </w:lvl>
  </w:abstractNum>
  <w:abstractNum w:abstractNumId="12" w15:restartNumberingAfterBreak="0">
    <w:nsid w:val="48261535"/>
    <w:multiLevelType w:val="hybridMultilevel"/>
    <w:tmpl w:val="D7905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0C1CA3"/>
    <w:multiLevelType w:val="hybridMultilevel"/>
    <w:tmpl w:val="C498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B395F"/>
    <w:multiLevelType w:val="multilevel"/>
    <w:tmpl w:val="3CB68F4A"/>
    <w:lvl w:ilvl="0">
      <w:numFmt w:val="bullet"/>
      <w:lvlText w:val="·"/>
      <w:lvlJc w:val="left"/>
      <w:pPr>
        <w:tabs>
          <w:tab w:val="left" w:pos="360"/>
        </w:tabs>
      </w:pPr>
      <w:rPr>
        <w:rFonts w:ascii="Symbol" w:eastAsia="Symbol" w:hAnsi="Symbol"/>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882C8E"/>
    <w:multiLevelType w:val="hybridMultilevel"/>
    <w:tmpl w:val="FDD2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E0742"/>
    <w:multiLevelType w:val="hybridMultilevel"/>
    <w:tmpl w:val="4272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E4E53"/>
    <w:multiLevelType w:val="hybridMultilevel"/>
    <w:tmpl w:val="FD321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30CD7"/>
    <w:multiLevelType w:val="hybridMultilevel"/>
    <w:tmpl w:val="A8E25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D2B0727"/>
    <w:multiLevelType w:val="multilevel"/>
    <w:tmpl w:val="692E819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63D061EE"/>
    <w:multiLevelType w:val="multilevel"/>
    <w:tmpl w:val="5882CE32"/>
    <w:lvl w:ilvl="0">
      <w:start w:val="1"/>
      <w:numFmt w:val="bullet"/>
      <w:lvlText w:val=""/>
      <w:lvlJc w:val="left"/>
      <w:pPr>
        <w:ind w:left="1077" w:hanging="360"/>
      </w:pPr>
      <w:rPr>
        <w:rFonts w:ascii="Symbol" w:hAnsi="Symbol" w:hint="default"/>
      </w:rPr>
    </w:lvl>
    <w:lvl w:ilvl="1">
      <w:start w:val="1"/>
      <w:numFmt w:val="decimal"/>
      <w:lvlText w:val="%1.%2."/>
      <w:lvlJc w:val="left"/>
      <w:pPr>
        <w:ind w:left="1149" w:hanging="432"/>
      </w:pPr>
      <w:rPr>
        <w:rFonts w:hint="default"/>
        <w:b w:val="0"/>
      </w:rPr>
    </w:lvl>
    <w:lvl w:ilvl="2">
      <w:start w:val="1"/>
      <w:numFmt w:val="decimal"/>
      <w:lvlText w:val="%1.%2.%3."/>
      <w:lvlJc w:val="left"/>
      <w:pPr>
        <w:ind w:left="1363" w:hanging="504"/>
      </w:pPr>
      <w:rPr>
        <w:rFonts w:hint="default"/>
        <w:b w:val="0"/>
      </w:rPr>
    </w:lvl>
    <w:lvl w:ilvl="3">
      <w:start w:val="1"/>
      <w:numFmt w:val="decimal"/>
      <w:lvlText w:val="%1.%2.%3.%4."/>
      <w:lvlJc w:val="left"/>
      <w:pPr>
        <w:ind w:left="2445" w:hanging="648"/>
      </w:pPr>
      <w:rPr>
        <w:rFonts w:hint="default"/>
      </w:rPr>
    </w:lvl>
    <w:lvl w:ilvl="4">
      <w:start w:val="1"/>
      <w:numFmt w:val="decimal"/>
      <w:lvlText w:val="%1.%2.%3.%4.%5."/>
      <w:lvlJc w:val="left"/>
      <w:pPr>
        <w:ind w:left="2949" w:hanging="792"/>
      </w:pPr>
      <w:rPr>
        <w:rFonts w:hint="default"/>
      </w:rPr>
    </w:lvl>
    <w:lvl w:ilvl="5">
      <w:start w:val="1"/>
      <w:numFmt w:val="decimal"/>
      <w:lvlText w:val="%1.%2.%3.%4.%5.%6."/>
      <w:lvlJc w:val="left"/>
      <w:pPr>
        <w:ind w:left="3453" w:hanging="936"/>
      </w:pPr>
      <w:rPr>
        <w:rFonts w:hint="default"/>
      </w:rPr>
    </w:lvl>
    <w:lvl w:ilvl="6">
      <w:start w:val="1"/>
      <w:numFmt w:val="decimal"/>
      <w:lvlText w:val="%1.%2.%3.%4.%5.%6.%7."/>
      <w:lvlJc w:val="left"/>
      <w:pPr>
        <w:ind w:left="3957" w:hanging="1080"/>
      </w:pPr>
      <w:rPr>
        <w:rFonts w:hint="default"/>
      </w:rPr>
    </w:lvl>
    <w:lvl w:ilvl="7">
      <w:start w:val="1"/>
      <w:numFmt w:val="decimal"/>
      <w:lvlText w:val="%1.%2.%3.%4.%5.%6.%7.%8."/>
      <w:lvlJc w:val="left"/>
      <w:pPr>
        <w:ind w:left="4461" w:hanging="1224"/>
      </w:pPr>
      <w:rPr>
        <w:rFonts w:hint="default"/>
      </w:rPr>
    </w:lvl>
    <w:lvl w:ilvl="8">
      <w:start w:val="1"/>
      <w:numFmt w:val="decimal"/>
      <w:lvlText w:val="%1.%2.%3.%4.%5.%6.%7.%8.%9."/>
      <w:lvlJc w:val="left"/>
      <w:pPr>
        <w:ind w:left="5037" w:hanging="1440"/>
      </w:pPr>
      <w:rPr>
        <w:rFonts w:hint="default"/>
      </w:rPr>
    </w:lvl>
  </w:abstractNum>
  <w:abstractNum w:abstractNumId="21" w15:restartNumberingAfterBreak="0">
    <w:nsid w:val="64613C3E"/>
    <w:multiLevelType w:val="hybridMultilevel"/>
    <w:tmpl w:val="EB22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766D2"/>
    <w:multiLevelType w:val="hybridMultilevel"/>
    <w:tmpl w:val="B2805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817076"/>
    <w:multiLevelType w:val="multilevel"/>
    <w:tmpl w:val="73A862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1F0CDF"/>
    <w:multiLevelType w:val="multilevel"/>
    <w:tmpl w:val="0A26A8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D63FC3"/>
    <w:multiLevelType w:val="hybridMultilevel"/>
    <w:tmpl w:val="ACF6D7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23"/>
  </w:num>
  <w:num w:numId="4">
    <w:abstractNumId w:val="5"/>
  </w:num>
  <w:num w:numId="5">
    <w:abstractNumId w:val="24"/>
  </w:num>
  <w:num w:numId="6">
    <w:abstractNumId w:val="16"/>
  </w:num>
  <w:num w:numId="7">
    <w:abstractNumId w:val="21"/>
  </w:num>
  <w:num w:numId="8">
    <w:abstractNumId w:val="3"/>
  </w:num>
  <w:num w:numId="9">
    <w:abstractNumId w:val="9"/>
  </w:num>
  <w:num w:numId="10">
    <w:abstractNumId w:val="15"/>
  </w:num>
  <w:num w:numId="11">
    <w:abstractNumId w:val="13"/>
  </w:num>
  <w:num w:numId="12">
    <w:abstractNumId w:val="12"/>
  </w:num>
  <w:num w:numId="13">
    <w:abstractNumId w:val="17"/>
  </w:num>
  <w:num w:numId="14">
    <w:abstractNumId w:val="18"/>
  </w:num>
  <w:num w:numId="15">
    <w:abstractNumId w:val="6"/>
  </w:num>
  <w:num w:numId="16">
    <w:abstractNumId w:val="22"/>
  </w:num>
  <w:num w:numId="17">
    <w:abstractNumId w:val="1"/>
  </w:num>
  <w:num w:numId="18">
    <w:abstractNumId w:val="8"/>
  </w:num>
  <w:num w:numId="19">
    <w:abstractNumId w:val="25"/>
  </w:num>
  <w:num w:numId="20">
    <w:abstractNumId w:val="10"/>
  </w:num>
  <w:num w:numId="21">
    <w:abstractNumId w:val="14"/>
  </w:num>
  <w:num w:numId="22">
    <w:abstractNumId w:val="7"/>
  </w:num>
  <w:num w:numId="23">
    <w:abstractNumId w:val="20"/>
  </w:num>
  <w:num w:numId="24">
    <w:abstractNumId w:val="19"/>
  </w:num>
  <w:num w:numId="25">
    <w:abstractNumId w:val="11"/>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DA"/>
    <w:rsid w:val="000018E2"/>
    <w:rsid w:val="000268AF"/>
    <w:rsid w:val="00066457"/>
    <w:rsid w:val="00097421"/>
    <w:rsid w:val="000B6951"/>
    <w:rsid w:val="000D0F55"/>
    <w:rsid w:val="000D66F4"/>
    <w:rsid w:val="000D6700"/>
    <w:rsid w:val="000E1FA6"/>
    <w:rsid w:val="00104247"/>
    <w:rsid w:val="0010544D"/>
    <w:rsid w:val="00126DEB"/>
    <w:rsid w:val="001343D8"/>
    <w:rsid w:val="00141E7C"/>
    <w:rsid w:val="00151C83"/>
    <w:rsid w:val="00160B50"/>
    <w:rsid w:val="00191A3E"/>
    <w:rsid w:val="00196C2F"/>
    <w:rsid w:val="001C6052"/>
    <w:rsid w:val="001E0B8C"/>
    <w:rsid w:val="001E4E1E"/>
    <w:rsid w:val="001E5303"/>
    <w:rsid w:val="001F5758"/>
    <w:rsid w:val="00204E5A"/>
    <w:rsid w:val="00207531"/>
    <w:rsid w:val="00220123"/>
    <w:rsid w:val="00227A79"/>
    <w:rsid w:val="00240AC5"/>
    <w:rsid w:val="00251C57"/>
    <w:rsid w:val="00252476"/>
    <w:rsid w:val="002749D1"/>
    <w:rsid w:val="00274CBA"/>
    <w:rsid w:val="00281469"/>
    <w:rsid w:val="00291FFE"/>
    <w:rsid w:val="002B1F15"/>
    <w:rsid w:val="002D2EBC"/>
    <w:rsid w:val="002E06EA"/>
    <w:rsid w:val="002E1480"/>
    <w:rsid w:val="002F53D0"/>
    <w:rsid w:val="003169C7"/>
    <w:rsid w:val="003274A0"/>
    <w:rsid w:val="00330BC4"/>
    <w:rsid w:val="00342812"/>
    <w:rsid w:val="00363DB0"/>
    <w:rsid w:val="003776D4"/>
    <w:rsid w:val="00385BE3"/>
    <w:rsid w:val="00385FC5"/>
    <w:rsid w:val="004064B4"/>
    <w:rsid w:val="00406C93"/>
    <w:rsid w:val="00415BE0"/>
    <w:rsid w:val="00456618"/>
    <w:rsid w:val="004733F5"/>
    <w:rsid w:val="0048568B"/>
    <w:rsid w:val="0049749D"/>
    <w:rsid w:val="00497781"/>
    <w:rsid w:val="004C4AC9"/>
    <w:rsid w:val="004D7978"/>
    <w:rsid w:val="004E121E"/>
    <w:rsid w:val="004E698B"/>
    <w:rsid w:val="004F1249"/>
    <w:rsid w:val="005126CE"/>
    <w:rsid w:val="005153A6"/>
    <w:rsid w:val="005217C2"/>
    <w:rsid w:val="00521E7C"/>
    <w:rsid w:val="00541234"/>
    <w:rsid w:val="005515DA"/>
    <w:rsid w:val="00551D92"/>
    <w:rsid w:val="00562219"/>
    <w:rsid w:val="005729A1"/>
    <w:rsid w:val="005778A5"/>
    <w:rsid w:val="00584F5E"/>
    <w:rsid w:val="005A092D"/>
    <w:rsid w:val="005A5B46"/>
    <w:rsid w:val="005B1EBC"/>
    <w:rsid w:val="005C0D62"/>
    <w:rsid w:val="005D004B"/>
    <w:rsid w:val="00603DE7"/>
    <w:rsid w:val="0060618C"/>
    <w:rsid w:val="0061351F"/>
    <w:rsid w:val="00624EA8"/>
    <w:rsid w:val="006341BF"/>
    <w:rsid w:val="006347A8"/>
    <w:rsid w:val="00646C0C"/>
    <w:rsid w:val="00654A61"/>
    <w:rsid w:val="00693961"/>
    <w:rsid w:val="006B36E0"/>
    <w:rsid w:val="006B3711"/>
    <w:rsid w:val="006C1EEF"/>
    <w:rsid w:val="006D5100"/>
    <w:rsid w:val="006D577F"/>
    <w:rsid w:val="006D674D"/>
    <w:rsid w:val="006D6A1D"/>
    <w:rsid w:val="006D7E41"/>
    <w:rsid w:val="006F75B0"/>
    <w:rsid w:val="0071739E"/>
    <w:rsid w:val="00717752"/>
    <w:rsid w:val="007245DE"/>
    <w:rsid w:val="007344E2"/>
    <w:rsid w:val="00754E87"/>
    <w:rsid w:val="00782947"/>
    <w:rsid w:val="00784848"/>
    <w:rsid w:val="00796505"/>
    <w:rsid w:val="007B13BA"/>
    <w:rsid w:val="007B660D"/>
    <w:rsid w:val="007C1424"/>
    <w:rsid w:val="007C2216"/>
    <w:rsid w:val="007D1579"/>
    <w:rsid w:val="007D1748"/>
    <w:rsid w:val="007D2E69"/>
    <w:rsid w:val="007D4918"/>
    <w:rsid w:val="007E79C7"/>
    <w:rsid w:val="00803285"/>
    <w:rsid w:val="00803C23"/>
    <w:rsid w:val="0080448C"/>
    <w:rsid w:val="00807178"/>
    <w:rsid w:val="0081478D"/>
    <w:rsid w:val="00834302"/>
    <w:rsid w:val="0083792A"/>
    <w:rsid w:val="008C6633"/>
    <w:rsid w:val="008D1EFA"/>
    <w:rsid w:val="008D4AA0"/>
    <w:rsid w:val="008D4BBE"/>
    <w:rsid w:val="009117FE"/>
    <w:rsid w:val="00916687"/>
    <w:rsid w:val="00922468"/>
    <w:rsid w:val="00923474"/>
    <w:rsid w:val="00926380"/>
    <w:rsid w:val="00957072"/>
    <w:rsid w:val="0096055E"/>
    <w:rsid w:val="0096769A"/>
    <w:rsid w:val="00985FE1"/>
    <w:rsid w:val="009A03D1"/>
    <w:rsid w:val="009B4540"/>
    <w:rsid w:val="009B4610"/>
    <w:rsid w:val="009E22D1"/>
    <w:rsid w:val="009E4202"/>
    <w:rsid w:val="009E452A"/>
    <w:rsid w:val="009E6F8A"/>
    <w:rsid w:val="009F4483"/>
    <w:rsid w:val="009F528B"/>
    <w:rsid w:val="009F7347"/>
    <w:rsid w:val="00A24558"/>
    <w:rsid w:val="00A561FE"/>
    <w:rsid w:val="00A664B6"/>
    <w:rsid w:val="00AA7158"/>
    <w:rsid w:val="00AC2075"/>
    <w:rsid w:val="00B05C70"/>
    <w:rsid w:val="00B14D30"/>
    <w:rsid w:val="00B50E14"/>
    <w:rsid w:val="00B824C1"/>
    <w:rsid w:val="00B85BA0"/>
    <w:rsid w:val="00B94803"/>
    <w:rsid w:val="00BA5171"/>
    <w:rsid w:val="00BA7C73"/>
    <w:rsid w:val="00BB1068"/>
    <w:rsid w:val="00BB2041"/>
    <w:rsid w:val="00BB682F"/>
    <w:rsid w:val="00BB7A09"/>
    <w:rsid w:val="00BC3EA3"/>
    <w:rsid w:val="00BD11F3"/>
    <w:rsid w:val="00BE40A5"/>
    <w:rsid w:val="00C2067B"/>
    <w:rsid w:val="00C52A3B"/>
    <w:rsid w:val="00C727D7"/>
    <w:rsid w:val="00CA206D"/>
    <w:rsid w:val="00CA7BC7"/>
    <w:rsid w:val="00CB128C"/>
    <w:rsid w:val="00CB1B7C"/>
    <w:rsid w:val="00CC0259"/>
    <w:rsid w:val="00CD159E"/>
    <w:rsid w:val="00CD2B26"/>
    <w:rsid w:val="00CE7863"/>
    <w:rsid w:val="00D15FD4"/>
    <w:rsid w:val="00D51AA0"/>
    <w:rsid w:val="00D55E31"/>
    <w:rsid w:val="00D64EE3"/>
    <w:rsid w:val="00D74A96"/>
    <w:rsid w:val="00D823C7"/>
    <w:rsid w:val="00DB1634"/>
    <w:rsid w:val="00DB755C"/>
    <w:rsid w:val="00DC745C"/>
    <w:rsid w:val="00DD2993"/>
    <w:rsid w:val="00DE024E"/>
    <w:rsid w:val="00DF243C"/>
    <w:rsid w:val="00DF4CE9"/>
    <w:rsid w:val="00DF7DF5"/>
    <w:rsid w:val="00E10F3C"/>
    <w:rsid w:val="00E3474F"/>
    <w:rsid w:val="00E6579C"/>
    <w:rsid w:val="00EA7B02"/>
    <w:rsid w:val="00EB0496"/>
    <w:rsid w:val="00EB1CF7"/>
    <w:rsid w:val="00EC4A32"/>
    <w:rsid w:val="00ED354D"/>
    <w:rsid w:val="00F13DB4"/>
    <w:rsid w:val="00F45B02"/>
    <w:rsid w:val="00F52380"/>
    <w:rsid w:val="00F745CD"/>
    <w:rsid w:val="00F83788"/>
    <w:rsid w:val="00F87E00"/>
    <w:rsid w:val="00F950E6"/>
    <w:rsid w:val="00FC33D4"/>
    <w:rsid w:val="00FD1DE7"/>
    <w:rsid w:val="00FE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706C3"/>
  <w15:docId w15:val="{5C66C8E8-8DA9-48CC-A0F1-CDDCB07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87"/>
    <w:rPr>
      <w:sz w:val="24"/>
      <w:szCs w:val="24"/>
      <w:lang w:eastAsia="en-US"/>
    </w:rPr>
  </w:style>
  <w:style w:type="paragraph" w:styleId="Heading1">
    <w:name w:val="heading 1"/>
    <w:basedOn w:val="Normal"/>
    <w:next w:val="Normal"/>
    <w:qFormat/>
    <w:rsid w:val="00754E87"/>
    <w:pPr>
      <w:keepNext/>
      <w:outlineLvl w:val="0"/>
    </w:pPr>
    <w:rPr>
      <w:rFonts w:ascii="Arial" w:hAnsi="Arial" w:cs="Arial"/>
      <w:b/>
      <w:bCs/>
    </w:rPr>
  </w:style>
  <w:style w:type="paragraph" w:styleId="Heading2">
    <w:name w:val="heading 2"/>
    <w:basedOn w:val="Normal"/>
    <w:next w:val="Normal"/>
    <w:qFormat/>
    <w:rsid w:val="00754E87"/>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54E87"/>
    <w:pPr>
      <w:ind w:left="540" w:hanging="540"/>
    </w:pPr>
    <w:rPr>
      <w:rFonts w:ascii="Arial" w:hAnsi="Arial" w:cs="Arial"/>
    </w:rPr>
  </w:style>
  <w:style w:type="paragraph" w:styleId="Header">
    <w:name w:val="header"/>
    <w:basedOn w:val="Normal"/>
    <w:rsid w:val="00754E87"/>
    <w:pPr>
      <w:tabs>
        <w:tab w:val="center" w:pos="4153"/>
        <w:tab w:val="right" w:pos="8306"/>
      </w:tabs>
    </w:pPr>
  </w:style>
  <w:style w:type="paragraph" w:styleId="Footer">
    <w:name w:val="footer"/>
    <w:basedOn w:val="Normal"/>
    <w:rsid w:val="00754E87"/>
    <w:pPr>
      <w:tabs>
        <w:tab w:val="center" w:pos="4153"/>
        <w:tab w:val="right" w:pos="8306"/>
      </w:tabs>
    </w:pPr>
  </w:style>
  <w:style w:type="paragraph" w:styleId="NormalWeb">
    <w:name w:val="Normal (Web)"/>
    <w:basedOn w:val="Normal"/>
    <w:rsid w:val="00754E87"/>
    <w:pPr>
      <w:spacing w:before="100" w:beforeAutospacing="1" w:after="100" w:afterAutospacing="1"/>
    </w:pPr>
    <w:rPr>
      <w:rFonts w:ascii="Arial Unicode MS" w:eastAsia="Arial Unicode MS" w:hAnsi="Arial Unicode MS" w:cs="Arial Unicode MS" w:hint="eastAsia"/>
    </w:rPr>
  </w:style>
  <w:style w:type="character" w:styleId="Hyperlink">
    <w:name w:val="Hyperlink"/>
    <w:rsid w:val="00754E87"/>
    <w:rPr>
      <w:color w:val="0000FF"/>
      <w:u w:val="single"/>
    </w:rPr>
  </w:style>
  <w:style w:type="character" w:styleId="FollowedHyperlink">
    <w:name w:val="FollowedHyperlink"/>
    <w:rsid w:val="00754E87"/>
    <w:rPr>
      <w:color w:val="800080"/>
      <w:u w:val="single"/>
    </w:rPr>
  </w:style>
  <w:style w:type="paragraph" w:styleId="BodyTextIndent2">
    <w:name w:val="Body Text Indent 2"/>
    <w:basedOn w:val="Normal"/>
    <w:rsid w:val="00754E87"/>
    <w:pPr>
      <w:ind w:left="1080" w:hanging="360"/>
    </w:pPr>
    <w:rPr>
      <w:rFonts w:ascii="Arial" w:hAnsi="Arial" w:cs="Arial"/>
    </w:rPr>
  </w:style>
  <w:style w:type="paragraph" w:customStyle="1" w:styleId="TableText">
    <w:name w:val="Table Text"/>
    <w:basedOn w:val="Normal"/>
    <w:rsid w:val="00754E87"/>
    <w:pPr>
      <w:spacing w:before="120"/>
    </w:pPr>
    <w:rPr>
      <w:szCs w:val="20"/>
    </w:rPr>
  </w:style>
  <w:style w:type="character" w:styleId="CommentReference">
    <w:name w:val="annotation reference"/>
    <w:semiHidden/>
    <w:rsid w:val="00754E87"/>
    <w:rPr>
      <w:sz w:val="16"/>
      <w:szCs w:val="16"/>
    </w:rPr>
  </w:style>
  <w:style w:type="paragraph" w:styleId="CommentText">
    <w:name w:val="annotation text"/>
    <w:basedOn w:val="Normal"/>
    <w:semiHidden/>
    <w:rsid w:val="00754E87"/>
    <w:rPr>
      <w:sz w:val="20"/>
      <w:szCs w:val="20"/>
    </w:rPr>
  </w:style>
  <w:style w:type="paragraph" w:styleId="BodyTextIndent3">
    <w:name w:val="Body Text Indent 3"/>
    <w:basedOn w:val="Normal"/>
    <w:rsid w:val="00754E87"/>
    <w:pPr>
      <w:ind w:left="720" w:hanging="720"/>
    </w:pPr>
    <w:rPr>
      <w:rFonts w:ascii="Arial" w:hAnsi="Arial" w:cs="Arial"/>
      <w:b/>
      <w:bCs/>
    </w:rPr>
  </w:style>
  <w:style w:type="paragraph" w:styleId="BalloonText">
    <w:name w:val="Balloon Text"/>
    <w:basedOn w:val="Normal"/>
    <w:semiHidden/>
    <w:rsid w:val="0096769A"/>
    <w:rPr>
      <w:rFonts w:ascii="Tahoma" w:hAnsi="Tahoma" w:cs="Tahoma"/>
      <w:sz w:val="16"/>
      <w:szCs w:val="16"/>
    </w:rPr>
  </w:style>
  <w:style w:type="paragraph" w:styleId="CommentSubject">
    <w:name w:val="annotation subject"/>
    <w:basedOn w:val="CommentText"/>
    <w:next w:val="CommentText"/>
    <w:semiHidden/>
    <w:rsid w:val="00F52380"/>
    <w:rPr>
      <w:b/>
      <w:bCs/>
    </w:rPr>
  </w:style>
  <w:style w:type="paragraph" w:styleId="ListParagraph">
    <w:name w:val="List Paragraph"/>
    <w:basedOn w:val="Normal"/>
    <w:uiPriority w:val="34"/>
    <w:qFormat/>
    <w:rsid w:val="000D66F4"/>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0D66F4"/>
    <w:rPr>
      <w:rFonts w:ascii="Calibri" w:eastAsia="Calibri" w:hAnsi="Calibri"/>
      <w:sz w:val="20"/>
      <w:szCs w:val="20"/>
    </w:rPr>
  </w:style>
  <w:style w:type="character" w:customStyle="1" w:styleId="FootnoteTextChar">
    <w:name w:val="Footnote Text Char"/>
    <w:link w:val="FootnoteText"/>
    <w:uiPriority w:val="99"/>
    <w:semiHidden/>
    <w:rsid w:val="000D66F4"/>
    <w:rPr>
      <w:rFonts w:ascii="Calibri" w:eastAsia="Calibri" w:hAnsi="Calibri" w:cs="Times New Roman"/>
      <w:lang w:eastAsia="en-US"/>
    </w:rPr>
  </w:style>
  <w:style w:type="character" w:styleId="FootnoteReference">
    <w:name w:val="footnote reference"/>
    <w:uiPriority w:val="99"/>
    <w:semiHidden/>
    <w:unhideWhenUsed/>
    <w:rsid w:val="000D66F4"/>
    <w:rPr>
      <w:vertAlign w:val="superscript"/>
    </w:rPr>
  </w:style>
  <w:style w:type="paragraph" w:styleId="NoSpacing">
    <w:name w:val="No Spacing"/>
    <w:uiPriority w:val="1"/>
    <w:qFormat/>
    <w:rsid w:val="00646C0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229070">
      <w:bodyDiv w:val="1"/>
      <w:marLeft w:val="0"/>
      <w:marRight w:val="0"/>
      <w:marTop w:val="0"/>
      <w:marBottom w:val="0"/>
      <w:divBdr>
        <w:top w:val="none" w:sz="0" w:space="0" w:color="auto"/>
        <w:left w:val="none" w:sz="0" w:space="0" w:color="auto"/>
        <w:bottom w:val="none" w:sz="0" w:space="0" w:color="auto"/>
        <w:right w:val="none" w:sz="0" w:space="0" w:color="auto"/>
      </w:divBdr>
    </w:div>
    <w:div w:id="1129517682">
      <w:bodyDiv w:val="1"/>
      <w:marLeft w:val="0"/>
      <w:marRight w:val="0"/>
      <w:marTop w:val="0"/>
      <w:marBottom w:val="0"/>
      <w:divBdr>
        <w:top w:val="none" w:sz="0" w:space="0" w:color="auto"/>
        <w:left w:val="none" w:sz="0" w:space="0" w:color="auto"/>
        <w:bottom w:val="none" w:sz="0" w:space="0" w:color="auto"/>
        <w:right w:val="none" w:sz="0" w:space="0" w:color="auto"/>
      </w:divBdr>
    </w:div>
    <w:div w:id="1160124624">
      <w:bodyDiv w:val="1"/>
      <w:marLeft w:val="0"/>
      <w:marRight w:val="0"/>
      <w:marTop w:val="0"/>
      <w:marBottom w:val="0"/>
      <w:divBdr>
        <w:top w:val="none" w:sz="0" w:space="0" w:color="auto"/>
        <w:left w:val="none" w:sz="0" w:space="0" w:color="auto"/>
        <w:bottom w:val="none" w:sz="0" w:space="0" w:color="auto"/>
        <w:right w:val="none" w:sz="0" w:space="0" w:color="auto"/>
      </w:divBdr>
    </w:div>
    <w:div w:id="1305044328">
      <w:bodyDiv w:val="1"/>
      <w:marLeft w:val="0"/>
      <w:marRight w:val="0"/>
      <w:marTop w:val="0"/>
      <w:marBottom w:val="0"/>
      <w:divBdr>
        <w:top w:val="none" w:sz="0" w:space="0" w:color="auto"/>
        <w:left w:val="none" w:sz="0" w:space="0" w:color="auto"/>
        <w:bottom w:val="none" w:sz="0" w:space="0" w:color="auto"/>
        <w:right w:val="none" w:sz="0" w:space="0" w:color="auto"/>
      </w:divBdr>
    </w:div>
    <w:div w:id="1897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29f4864479aa4b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200D98310CAD465FB48C3A62E91DFCBC" version="1.0.0">
  <systemFields>
    <field name="Objective-Id">
      <value order="0">A5915910</value>
    </field>
    <field name="Objective-Title">
      <value order="0">Agenda Item 8.  HWB Strategy Refresh</value>
    </field>
    <field name="Objective-Description">
      <value order="0"/>
    </field>
    <field name="Objective-CreationStamp">
      <value order="0">2020-07-10T09:23:49Z</value>
    </field>
    <field name="Objective-IsApproved">
      <value order="0">false</value>
    </field>
    <field name="Objective-IsPublished">
      <value order="0">false</value>
    </field>
    <field name="Objective-DatePublished">
      <value order="0"/>
    </field>
    <field name="Objective-ModificationStamp">
      <value order="0">2020-08-10T16:45:07Z</value>
    </field>
    <field name="Objective-Owner">
      <value order="0">Kristiansen, Darren</value>
    </field>
    <field name="Objective-Path">
      <value order="0">Thurrock Global Folder:Thurrock Corporate File Plan:Management:Preparing Business:Meetings:Health and Wellbeing Board:Health and Wellbeing Board Meetings 2020:July 2020</value>
    </field>
    <field name="Objective-Parent">
      <value order="0">July 2020</value>
    </field>
    <field name="Objective-State">
      <value order="0">Being Drafted</value>
    </field>
    <field name="Objective-VersionId">
      <value order="0">vA9414816</value>
    </field>
    <field name="Objective-Version">
      <value order="0">0.5</value>
    </field>
    <field name="Objective-VersionNumber">
      <value order="0">5</value>
    </field>
    <field name="Objective-VersionComment">
      <value order="0"/>
    </field>
    <field name="Objective-FileNumber">
      <value order="0">qA357252</value>
    </field>
    <field name="Objective-Classification">
      <value order="0"/>
    </field>
    <field name="Objective-Caveats">
      <value order="0">Active Users</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C3066EB-A46C-49C8-9EE8-398C8A34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Report Template</vt:lpstr>
    </vt:vector>
  </TitlesOfParts>
  <Company>Thurrock Council</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sjones</dc:creator>
  <cp:keywords/>
  <dc:description/>
  <cp:lastModifiedBy>Kristiansen, Darren</cp:lastModifiedBy>
  <cp:revision>4</cp:revision>
  <cp:lastPrinted>2012-11-19T15:34:00Z</cp:lastPrinted>
  <dcterms:created xsi:type="dcterms:W3CDTF">2020-07-10T09:23:00Z</dcterms:created>
  <dcterms:modified xsi:type="dcterms:W3CDTF">2020-08-10T16:45:00Z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A5915910</vt:lpwstr>
  </property>
  <property fmtid="{D5CDD505-2E9C-101B-9397-08002B2CF9AE}" pid="4" name="Objective-Title">
    <vt:lpwstr>Agenda Item 8.  HWB Strategy Refresh</vt:lpwstr>
  </property>
  <property fmtid="{D5CDD505-2E9C-101B-9397-08002B2CF9AE}" pid="5" name="Objective-Description">
    <vt:lpwstr/>
  </property>
  <property fmtid="{D5CDD505-2E9C-101B-9397-08002B2CF9AE}" pid="6" name="Objective-CreationStamp">
    <vt:filetime>2020-07-10T09:23:59Z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2020-08-10T16:45:07Z</vt:filetime>
  </property>
  <property fmtid="{D5CDD505-2E9C-101B-9397-08002B2CF9AE}" pid="11" name="Objective-Owner">
    <vt:lpwstr>Kristiansen, Darren</vt:lpwstr>
  </property>
  <property fmtid="{D5CDD505-2E9C-101B-9397-08002B2CF9AE}" pid="12" name="Objective-Path">
    <vt:lpwstr>Thurrock Global Folder:Thurrock Corporate File Plan:Management:Preparing Business:Meetings:Health and Wellbeing Board:Health and Wellbeing Board Meetings 2020:July 2020:</vt:lpwstr>
  </property>
  <property fmtid="{D5CDD505-2E9C-101B-9397-08002B2CF9AE}" pid="13" name="Objective-Parent">
    <vt:lpwstr>July 2020</vt:lpwstr>
  </property>
  <property fmtid="{D5CDD505-2E9C-101B-9397-08002B2CF9AE}" pid="14" name="Objective-State">
    <vt:lpwstr>Being Drafted</vt:lpwstr>
  </property>
  <property fmtid="{D5CDD505-2E9C-101B-9397-08002B2CF9AE}" pid="15" name="Objective-VersionId">
    <vt:lpwstr>vA9414816</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